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274" w:rsidRDefault="00591274" w:rsidP="00591274">
      <w:pPr>
        <w:pStyle w:val="NoSpacing"/>
        <w:jc w:val="center"/>
        <w:rPr>
          <w:rStyle w:val="Heading1Char"/>
          <w:bCs w:val="0"/>
          <w:color w:val="1F497D"/>
          <w:u w:val="single"/>
        </w:rPr>
      </w:pPr>
      <w:bookmarkStart w:id="0" w:name="p1"/>
      <w:bookmarkStart w:id="1" w:name="_GoBack"/>
      <w:bookmarkEnd w:id="1"/>
      <w:r w:rsidRPr="00B30B1F">
        <w:rPr>
          <w:rStyle w:val="Heading1Char"/>
          <w:bCs w:val="0"/>
          <w:color w:val="1F497D"/>
          <w:u w:val="single"/>
        </w:rPr>
        <w:t>Technical information sheet for the proposed SDG indicator</w:t>
      </w:r>
    </w:p>
    <w:p w:rsidR="00056544" w:rsidRPr="00B30B1F" w:rsidRDefault="008B0701" w:rsidP="00591274">
      <w:pPr>
        <w:pStyle w:val="NoSpacing"/>
        <w:jc w:val="center"/>
        <w:rPr>
          <w:rStyle w:val="Heading1Char"/>
          <w:bCs w:val="0"/>
          <w:color w:val="1F497D"/>
          <w:u w:val="single"/>
        </w:rPr>
      </w:pPr>
      <w:r>
        <w:rPr>
          <w:rStyle w:val="Heading1Char"/>
          <w:bCs w:val="0"/>
          <w:color w:val="1F497D"/>
          <w:u w:val="single"/>
        </w:rPr>
        <w:t xml:space="preserve">For </w:t>
      </w:r>
      <w:r w:rsidR="00056544">
        <w:rPr>
          <w:rStyle w:val="Heading1Char"/>
          <w:bCs w:val="0"/>
          <w:color w:val="1F497D"/>
          <w:u w:val="single"/>
        </w:rPr>
        <w:t>Targets 1.4, 2.3, 5.a, and 10.2</w:t>
      </w:r>
    </w:p>
    <w:p w:rsidR="00591274" w:rsidRPr="00B30B1F" w:rsidRDefault="00591274" w:rsidP="00591274">
      <w:pPr>
        <w:pStyle w:val="NoSpacing"/>
        <w:jc w:val="center"/>
        <w:rPr>
          <w:rStyle w:val="Heading1Char"/>
          <w:bCs w:val="0"/>
          <w:color w:val="1F497D"/>
        </w:rPr>
      </w:pPr>
    </w:p>
    <w:p w:rsidR="00591274" w:rsidRPr="00BA1A90" w:rsidRDefault="00591274" w:rsidP="008B0701">
      <w:pPr>
        <w:pStyle w:val="NoSpacing"/>
        <w:jc w:val="both"/>
        <w:rPr>
          <w:rStyle w:val="Heading1Char"/>
          <w:sz w:val="24"/>
          <w:szCs w:val="24"/>
          <w:u w:val="single"/>
        </w:rPr>
      </w:pPr>
      <w:r w:rsidRPr="00BA1A90">
        <w:rPr>
          <w:rStyle w:val="Heading1Char"/>
          <w:sz w:val="24"/>
          <w:szCs w:val="24"/>
          <w:u w:val="single"/>
        </w:rPr>
        <w:t xml:space="preserve">Indicator: </w:t>
      </w:r>
    </w:p>
    <w:p w:rsidR="00591274" w:rsidRPr="00591274" w:rsidRDefault="00591274" w:rsidP="00591274">
      <w:pPr>
        <w:pStyle w:val="NoSpacing"/>
        <w:jc w:val="both"/>
        <w:rPr>
          <w:b/>
        </w:rPr>
      </w:pPr>
      <w:r w:rsidRPr="00591274">
        <w:t xml:space="preserve">Adults owning an account either through a financial institution or mobile money provider, disaggregated by income level, geography </w:t>
      </w:r>
      <w:r w:rsidR="0050468D">
        <w:t>location</w:t>
      </w:r>
      <w:r w:rsidRPr="00591274">
        <w:t>, gender, age and education</w:t>
      </w:r>
    </w:p>
    <w:p w:rsidR="00591274" w:rsidRPr="00B30B1F" w:rsidRDefault="00591274" w:rsidP="00591274">
      <w:pPr>
        <w:pStyle w:val="NoSpacing"/>
        <w:jc w:val="both"/>
        <w:rPr>
          <w:rFonts w:eastAsia="Times New Roman"/>
          <w:b/>
          <w:bCs/>
          <w:lang w:eastAsia="en-GB"/>
        </w:rPr>
      </w:pPr>
    </w:p>
    <w:p w:rsidR="00591274" w:rsidRPr="00B30B1F" w:rsidRDefault="00591274" w:rsidP="00591274">
      <w:pPr>
        <w:pStyle w:val="NoSpacing"/>
        <w:jc w:val="both"/>
        <w:rPr>
          <w:rFonts w:eastAsia="Times New Roman"/>
          <w:b/>
          <w:bCs/>
          <w:lang w:eastAsia="en-GB"/>
        </w:rPr>
      </w:pPr>
    </w:p>
    <w:p w:rsidR="00591274" w:rsidRPr="00BA1A90" w:rsidRDefault="00591274" w:rsidP="00591274">
      <w:pPr>
        <w:pStyle w:val="NoSpacing"/>
        <w:jc w:val="both"/>
        <w:rPr>
          <w:rStyle w:val="Heading1Char"/>
          <w:sz w:val="24"/>
          <w:szCs w:val="24"/>
          <w:u w:val="single"/>
        </w:rPr>
      </w:pPr>
      <w:r w:rsidRPr="00BA1A90">
        <w:rPr>
          <w:rStyle w:val="Heading1Char"/>
          <w:sz w:val="24"/>
          <w:szCs w:val="24"/>
          <w:u w:val="single"/>
        </w:rPr>
        <w:t xml:space="preserve">Goal and Target Addressed </w:t>
      </w:r>
      <w:bookmarkEnd w:id="0"/>
    </w:p>
    <w:p w:rsidR="00591274" w:rsidRDefault="00703CA9" w:rsidP="00591274">
      <w:pPr>
        <w:pStyle w:val="NoSpacing"/>
        <w:jc w:val="both"/>
        <w:rPr>
          <w:rFonts w:eastAsia="Times New Roman"/>
          <w:bCs/>
          <w:lang w:val="en-US" w:eastAsia="en-GB"/>
        </w:rPr>
      </w:pPr>
      <w:r>
        <w:rPr>
          <w:rFonts w:eastAsia="Times New Roman"/>
          <w:bCs/>
          <w:lang w:val="en-US" w:eastAsia="en-GB"/>
        </w:rPr>
        <w:t xml:space="preserve">This indicator is a multi-purpose indicator that addresses four Sustainable Development Goals: </w:t>
      </w:r>
    </w:p>
    <w:p w:rsidR="00703CA9" w:rsidRPr="00B30B1F" w:rsidRDefault="00703CA9" w:rsidP="00591274">
      <w:pPr>
        <w:pStyle w:val="NoSpacing"/>
        <w:jc w:val="both"/>
        <w:rPr>
          <w:rFonts w:eastAsia="Times New Roman"/>
          <w:bCs/>
          <w:lang w:val="en-US" w:eastAsia="en-GB"/>
        </w:rPr>
      </w:pPr>
    </w:p>
    <w:p w:rsidR="00591274" w:rsidRPr="005D13B1" w:rsidRDefault="00591274" w:rsidP="00591274">
      <w:pPr>
        <w:pStyle w:val="NoSpacing"/>
        <w:jc w:val="both"/>
        <w:rPr>
          <w:rFonts w:eastAsia="Times New Roman"/>
          <w:b/>
          <w:u w:val="single"/>
          <w:lang w:eastAsia="en-GB"/>
        </w:rPr>
      </w:pPr>
      <w:r w:rsidRPr="005D13B1">
        <w:rPr>
          <w:rFonts w:eastAsia="Times New Roman"/>
          <w:b/>
          <w:bCs/>
          <w:u w:val="single"/>
          <w:lang w:val="en-US" w:eastAsia="en-GB"/>
        </w:rPr>
        <w:t>Goal 1: End poverty in all its forms everywhere</w:t>
      </w:r>
    </w:p>
    <w:p w:rsidR="00591274" w:rsidRDefault="00591274" w:rsidP="00591274">
      <w:pPr>
        <w:pStyle w:val="NoSpacing"/>
        <w:jc w:val="both"/>
      </w:pPr>
      <w:r w:rsidRPr="005D13B1">
        <w:rPr>
          <w:b/>
        </w:rPr>
        <w:t xml:space="preserve">Target 1.4: </w:t>
      </w:r>
      <w:r w:rsidRPr="00591274">
        <w:t>By 2030, ensure that all men and women, in particular the poor and the vulnerable, have equal rights to economic resources, as well as access to basic services, ownership and control over land and other forms of property, inheritance, natural resources, appropriate new technology and financial services, including microfinance.</w:t>
      </w:r>
    </w:p>
    <w:p w:rsidR="005D13B1" w:rsidRDefault="005D13B1" w:rsidP="00591274">
      <w:pPr>
        <w:pStyle w:val="NoSpacing"/>
        <w:jc w:val="both"/>
      </w:pPr>
    </w:p>
    <w:p w:rsidR="005D13B1" w:rsidRDefault="005D13B1" w:rsidP="00591274">
      <w:pPr>
        <w:pStyle w:val="NoSpacing"/>
        <w:jc w:val="both"/>
        <w:rPr>
          <w:b/>
          <w:u w:val="single"/>
        </w:rPr>
      </w:pPr>
      <w:r w:rsidRPr="005D13B1">
        <w:rPr>
          <w:b/>
          <w:u w:val="single"/>
        </w:rPr>
        <w:t>Goal 2: End hunger, achieve food security and improved nutrition and promote sustainable agriculture</w:t>
      </w:r>
    </w:p>
    <w:p w:rsidR="00591274" w:rsidRDefault="005D13B1" w:rsidP="00591274">
      <w:pPr>
        <w:pStyle w:val="NoSpacing"/>
        <w:jc w:val="both"/>
        <w:rPr>
          <w:iCs/>
        </w:rPr>
      </w:pPr>
      <w:r w:rsidRPr="005D13B1">
        <w:rPr>
          <w:b/>
          <w:iCs/>
        </w:rPr>
        <w:t>Target 2.3</w:t>
      </w:r>
      <w:r>
        <w:rPr>
          <w:b/>
          <w:iCs/>
        </w:rPr>
        <w:t>:</w:t>
      </w:r>
      <w:r w:rsidRPr="005D13B1">
        <w:rPr>
          <w:iCs/>
        </w:rPr>
        <w:t xml:space="preserve"> By 2030, double the agricultural productivity and incomes of small-scale food producers, in particular women, indigenous peoples, family farmers, pastoralists and fishers, including through secure and equal access to land, other productive resources and inputs, knowledge, financial services, markets and opportunities for value addition and no</w:t>
      </w:r>
      <w:bookmarkStart w:id="2" w:name="p2"/>
      <w:r w:rsidR="0075556D">
        <w:rPr>
          <w:iCs/>
        </w:rPr>
        <w:t>n-farm employment</w:t>
      </w:r>
    </w:p>
    <w:p w:rsidR="0075556D" w:rsidRDefault="0075556D" w:rsidP="00591274">
      <w:pPr>
        <w:pStyle w:val="NoSpacing"/>
        <w:jc w:val="both"/>
        <w:rPr>
          <w:iCs/>
        </w:rPr>
      </w:pPr>
    </w:p>
    <w:p w:rsidR="0075556D" w:rsidRDefault="0075556D" w:rsidP="00591274">
      <w:pPr>
        <w:pStyle w:val="NoSpacing"/>
        <w:jc w:val="both"/>
        <w:rPr>
          <w:rStyle w:val="Heading1Char"/>
          <w:rFonts w:ascii="Calibri" w:eastAsia="Calibri" w:hAnsi="Calibri"/>
          <w:bCs w:val="0"/>
          <w:iCs/>
          <w:color w:val="auto"/>
          <w:sz w:val="22"/>
          <w:szCs w:val="22"/>
          <w:u w:val="single"/>
          <w:lang w:eastAsia="en-US"/>
        </w:rPr>
      </w:pPr>
      <w:r w:rsidRPr="0075556D">
        <w:rPr>
          <w:rStyle w:val="Heading1Char"/>
          <w:rFonts w:ascii="Calibri" w:eastAsia="Calibri" w:hAnsi="Calibri"/>
          <w:bCs w:val="0"/>
          <w:iCs/>
          <w:color w:val="auto"/>
          <w:sz w:val="22"/>
          <w:szCs w:val="22"/>
          <w:u w:val="single"/>
          <w:lang w:eastAsia="en-US"/>
        </w:rPr>
        <w:t>Goal 5</w:t>
      </w:r>
      <w:r>
        <w:rPr>
          <w:rStyle w:val="Heading1Char"/>
          <w:rFonts w:ascii="Calibri" w:eastAsia="Calibri" w:hAnsi="Calibri"/>
          <w:bCs w:val="0"/>
          <w:iCs/>
          <w:color w:val="auto"/>
          <w:sz w:val="22"/>
          <w:szCs w:val="22"/>
          <w:u w:val="single"/>
          <w:lang w:eastAsia="en-US"/>
        </w:rPr>
        <w:t>:</w:t>
      </w:r>
      <w:r w:rsidRPr="0075556D">
        <w:rPr>
          <w:rStyle w:val="Heading1Char"/>
          <w:rFonts w:ascii="Calibri" w:eastAsia="Calibri" w:hAnsi="Calibri"/>
          <w:bCs w:val="0"/>
          <w:iCs/>
          <w:color w:val="auto"/>
          <w:sz w:val="22"/>
          <w:szCs w:val="22"/>
          <w:u w:val="single"/>
          <w:lang w:eastAsia="en-US"/>
        </w:rPr>
        <w:t xml:space="preserve"> Achieve gender equality and empower all women and girls</w:t>
      </w:r>
    </w:p>
    <w:p w:rsidR="0075556D" w:rsidRDefault="0075556D" w:rsidP="00591274">
      <w:pPr>
        <w:pStyle w:val="NoSpacing"/>
        <w:jc w:val="both"/>
        <w:rPr>
          <w:rStyle w:val="Heading1Char"/>
          <w:rFonts w:ascii="Calibri" w:eastAsia="Calibri" w:hAnsi="Calibri"/>
          <w:b w:val="0"/>
          <w:bCs w:val="0"/>
          <w:iCs/>
          <w:color w:val="auto"/>
          <w:sz w:val="22"/>
          <w:szCs w:val="22"/>
          <w:lang w:eastAsia="en-US"/>
        </w:rPr>
      </w:pPr>
      <w:r w:rsidRPr="0075556D">
        <w:rPr>
          <w:rStyle w:val="Heading1Char"/>
          <w:rFonts w:ascii="Calibri" w:eastAsia="Calibri" w:hAnsi="Calibri"/>
          <w:bCs w:val="0"/>
          <w:iCs/>
          <w:color w:val="auto"/>
          <w:sz w:val="22"/>
          <w:szCs w:val="22"/>
          <w:lang w:eastAsia="en-US"/>
        </w:rPr>
        <w:t>Target 5.a</w:t>
      </w:r>
      <w:r>
        <w:rPr>
          <w:rStyle w:val="Heading1Char"/>
          <w:rFonts w:ascii="Calibri" w:eastAsia="Calibri" w:hAnsi="Calibri"/>
          <w:b w:val="0"/>
          <w:bCs w:val="0"/>
          <w:iCs/>
          <w:color w:val="auto"/>
          <w:sz w:val="22"/>
          <w:szCs w:val="22"/>
          <w:lang w:eastAsia="en-US"/>
        </w:rPr>
        <w:t>:</w:t>
      </w:r>
      <w:r w:rsidRPr="0075556D">
        <w:rPr>
          <w:rStyle w:val="Heading1Char"/>
          <w:rFonts w:ascii="Calibri" w:eastAsia="Calibri" w:hAnsi="Calibri"/>
          <w:b w:val="0"/>
          <w:bCs w:val="0"/>
          <w:iCs/>
          <w:color w:val="auto"/>
          <w:sz w:val="22"/>
          <w:szCs w:val="22"/>
          <w:lang w:eastAsia="en-US"/>
        </w:rPr>
        <w:t xml:space="preserve"> Undertake reforms to give women equal rights to economic resources, as well as access to ownership and control over land and other forms of property, financial services, inheritance and natural resources, i</w:t>
      </w:r>
      <w:r w:rsidR="009F01AA">
        <w:rPr>
          <w:rStyle w:val="Heading1Char"/>
          <w:rFonts w:ascii="Calibri" w:eastAsia="Calibri" w:hAnsi="Calibri"/>
          <w:b w:val="0"/>
          <w:bCs w:val="0"/>
          <w:iCs/>
          <w:color w:val="auto"/>
          <w:sz w:val="22"/>
          <w:szCs w:val="22"/>
          <w:lang w:eastAsia="en-US"/>
        </w:rPr>
        <w:t>n accordance with national laws</w:t>
      </w:r>
    </w:p>
    <w:p w:rsidR="00056544" w:rsidRDefault="00056544" w:rsidP="00591274">
      <w:pPr>
        <w:pStyle w:val="NoSpacing"/>
        <w:jc w:val="both"/>
        <w:rPr>
          <w:rStyle w:val="Heading1Char"/>
          <w:rFonts w:ascii="Calibri" w:eastAsia="Calibri" w:hAnsi="Calibri"/>
          <w:b w:val="0"/>
          <w:bCs w:val="0"/>
          <w:iCs/>
          <w:color w:val="auto"/>
          <w:sz w:val="22"/>
          <w:szCs w:val="22"/>
          <w:lang w:eastAsia="en-US"/>
        </w:rPr>
      </w:pPr>
    </w:p>
    <w:p w:rsidR="00056544" w:rsidRDefault="00056544" w:rsidP="00591274">
      <w:pPr>
        <w:pStyle w:val="NoSpacing"/>
        <w:jc w:val="both"/>
        <w:rPr>
          <w:rStyle w:val="Heading1Char"/>
          <w:rFonts w:ascii="Calibri" w:eastAsia="Calibri" w:hAnsi="Calibri"/>
          <w:bCs w:val="0"/>
          <w:iCs/>
          <w:color w:val="auto"/>
          <w:sz w:val="22"/>
          <w:szCs w:val="22"/>
          <w:u w:val="single"/>
          <w:lang w:eastAsia="en-US"/>
        </w:rPr>
      </w:pPr>
      <w:r w:rsidRPr="00056544">
        <w:rPr>
          <w:rStyle w:val="Heading1Char"/>
          <w:rFonts w:ascii="Calibri" w:eastAsia="Calibri" w:hAnsi="Calibri"/>
          <w:bCs w:val="0"/>
          <w:iCs/>
          <w:color w:val="auto"/>
          <w:sz w:val="22"/>
          <w:szCs w:val="22"/>
          <w:u w:val="single"/>
          <w:lang w:eastAsia="en-US"/>
        </w:rPr>
        <w:t>Goal 10</w:t>
      </w:r>
      <w:r>
        <w:rPr>
          <w:rStyle w:val="Heading1Char"/>
          <w:rFonts w:ascii="Calibri" w:eastAsia="Calibri" w:hAnsi="Calibri"/>
          <w:bCs w:val="0"/>
          <w:iCs/>
          <w:color w:val="auto"/>
          <w:sz w:val="22"/>
          <w:szCs w:val="22"/>
          <w:u w:val="single"/>
          <w:lang w:eastAsia="en-US"/>
        </w:rPr>
        <w:t>:</w:t>
      </w:r>
      <w:r w:rsidRPr="00056544">
        <w:rPr>
          <w:rStyle w:val="Heading1Char"/>
          <w:rFonts w:ascii="Calibri" w:eastAsia="Calibri" w:hAnsi="Calibri"/>
          <w:bCs w:val="0"/>
          <w:iCs/>
          <w:color w:val="auto"/>
          <w:sz w:val="22"/>
          <w:szCs w:val="22"/>
          <w:u w:val="single"/>
          <w:lang w:eastAsia="en-US"/>
        </w:rPr>
        <w:t xml:space="preserve"> Reduce inequality within and among countries</w:t>
      </w:r>
    </w:p>
    <w:p w:rsidR="00E24D38" w:rsidRPr="00E24D38" w:rsidRDefault="00E24D38" w:rsidP="00591274">
      <w:pPr>
        <w:pStyle w:val="NoSpacing"/>
        <w:jc w:val="both"/>
        <w:rPr>
          <w:rStyle w:val="Heading1Char"/>
          <w:rFonts w:ascii="Calibri" w:eastAsia="Calibri" w:hAnsi="Calibri"/>
          <w:bCs w:val="0"/>
          <w:iCs/>
          <w:color w:val="auto"/>
          <w:sz w:val="22"/>
          <w:szCs w:val="22"/>
          <w:lang w:eastAsia="en-US"/>
        </w:rPr>
      </w:pPr>
      <w:r w:rsidRPr="00E24D38">
        <w:rPr>
          <w:rStyle w:val="Heading1Char"/>
          <w:rFonts w:ascii="Calibri" w:eastAsia="Calibri" w:hAnsi="Calibri"/>
          <w:bCs w:val="0"/>
          <w:iCs/>
          <w:color w:val="auto"/>
          <w:sz w:val="22"/>
          <w:szCs w:val="22"/>
          <w:lang w:eastAsia="en-US"/>
        </w:rPr>
        <w:t>Target 10.2</w:t>
      </w:r>
      <w:r>
        <w:rPr>
          <w:rStyle w:val="Heading1Char"/>
          <w:rFonts w:ascii="Calibri" w:eastAsia="Calibri" w:hAnsi="Calibri"/>
          <w:bCs w:val="0"/>
          <w:iCs/>
          <w:color w:val="auto"/>
          <w:sz w:val="22"/>
          <w:szCs w:val="22"/>
          <w:lang w:eastAsia="en-US"/>
        </w:rPr>
        <w:t>:</w:t>
      </w:r>
      <w:r w:rsidRPr="00E24D38">
        <w:rPr>
          <w:rStyle w:val="Heading1Char"/>
          <w:rFonts w:ascii="Calibri" w:eastAsia="Calibri" w:hAnsi="Calibri"/>
          <w:bCs w:val="0"/>
          <w:iCs/>
          <w:color w:val="auto"/>
          <w:sz w:val="22"/>
          <w:szCs w:val="22"/>
          <w:lang w:eastAsia="en-US"/>
        </w:rPr>
        <w:t xml:space="preserve"> </w:t>
      </w:r>
      <w:r w:rsidRPr="00E24D38">
        <w:rPr>
          <w:rStyle w:val="Heading1Char"/>
          <w:rFonts w:ascii="Calibri" w:eastAsia="Calibri" w:hAnsi="Calibri"/>
          <w:b w:val="0"/>
          <w:bCs w:val="0"/>
          <w:iCs/>
          <w:color w:val="auto"/>
          <w:sz w:val="22"/>
          <w:szCs w:val="22"/>
          <w:lang w:eastAsia="en-US"/>
        </w:rPr>
        <w:t>By 2030, empower and promote the social, economic and political inclusion of all, irrespective of age, sex, disability, race, ethnicity, origin, religion or economic or other status</w:t>
      </w:r>
    </w:p>
    <w:p w:rsidR="005D13B1" w:rsidRPr="00B30B1F" w:rsidRDefault="005D13B1" w:rsidP="00591274">
      <w:pPr>
        <w:pStyle w:val="NoSpacing"/>
        <w:jc w:val="both"/>
        <w:rPr>
          <w:rStyle w:val="Heading1Char"/>
        </w:rPr>
      </w:pPr>
    </w:p>
    <w:p w:rsidR="00591274" w:rsidRPr="00BA1A90" w:rsidRDefault="00591274" w:rsidP="00591274">
      <w:pPr>
        <w:pStyle w:val="NoSpacing"/>
        <w:jc w:val="both"/>
        <w:rPr>
          <w:rStyle w:val="Heading1Char"/>
          <w:sz w:val="24"/>
          <w:szCs w:val="24"/>
          <w:u w:val="single"/>
          <w:lang w:eastAsia="en-GB"/>
        </w:rPr>
      </w:pPr>
      <w:r w:rsidRPr="00BA1A90">
        <w:rPr>
          <w:rStyle w:val="Heading1Char"/>
          <w:sz w:val="24"/>
          <w:szCs w:val="24"/>
          <w:u w:val="single"/>
        </w:rPr>
        <w:t xml:space="preserve">Definition and Method of Computation </w:t>
      </w:r>
      <w:bookmarkEnd w:id="2"/>
    </w:p>
    <w:p w:rsidR="009F448F" w:rsidRPr="00E24D38" w:rsidRDefault="009F448F" w:rsidP="009F448F">
      <w:pPr>
        <w:pStyle w:val="NoSpacing"/>
        <w:jc w:val="both"/>
      </w:pPr>
      <w:r w:rsidRPr="00E24D38">
        <w:rPr>
          <w:rFonts w:eastAsia="Times New Roman"/>
          <w:b/>
          <w:u w:val="single"/>
          <w:lang w:eastAsia="en-GB"/>
        </w:rPr>
        <w:t>Definition</w:t>
      </w:r>
    </w:p>
    <w:p w:rsidR="009D6B31" w:rsidRDefault="009D6B31" w:rsidP="00591274">
      <w:pPr>
        <w:pStyle w:val="NoSpacing"/>
        <w:jc w:val="both"/>
        <w:rPr>
          <w:rFonts w:eastAsia="Times New Roman"/>
          <w:lang w:eastAsia="en-GB"/>
        </w:rPr>
      </w:pPr>
      <w:r>
        <w:rPr>
          <w:rFonts w:eastAsia="Times New Roman"/>
          <w:lang w:eastAsia="en-GB"/>
        </w:rPr>
        <w:t>This indicator d</w:t>
      </w:r>
      <w:r w:rsidRPr="009D6B31">
        <w:rPr>
          <w:rFonts w:eastAsia="Times New Roman"/>
          <w:lang w:eastAsia="en-GB"/>
        </w:rPr>
        <w:t>enotes the percentage of respondents who report having an account (by themselves or together with someone else) at a bank or another type of financial institution; having a debit card in their own name; receiving wages, government transfers, or payments for agricultural products into an account or through a mobile phone at a financial institution in the past 12 months; paying utility bills or school fees from an account at a financial institution in the past 12 months; receiving wages or government transfers into a card in the past 12 months; or personally using a mobile phone to pay bills or to send or receive money through a GSM Association (GSMA) Mobile Money for the Unbanked (MMU) service in the past 12 months (% age 15+)</w:t>
      </w:r>
    </w:p>
    <w:p w:rsidR="00591274" w:rsidRDefault="00591274" w:rsidP="0034451B">
      <w:pPr>
        <w:pStyle w:val="NoSpacing"/>
        <w:jc w:val="both"/>
      </w:pPr>
      <w:r w:rsidRPr="00E24D38">
        <w:rPr>
          <w:rFonts w:eastAsia="Times New Roman"/>
          <w:lang w:eastAsia="en-GB"/>
        </w:rPr>
        <w:br/>
      </w:r>
      <w:r w:rsidRPr="00E24D38">
        <w:rPr>
          <w:rFonts w:eastAsia="Times New Roman"/>
          <w:b/>
          <w:u w:val="single"/>
          <w:lang w:eastAsia="en-GB"/>
        </w:rPr>
        <w:t>Concepts</w:t>
      </w:r>
      <w:r w:rsidRPr="00E24D38">
        <w:rPr>
          <w:rFonts w:eastAsia="Times New Roman"/>
          <w:u w:val="single"/>
          <w:lang w:eastAsia="en-GB"/>
        </w:rPr>
        <w:br/>
      </w:r>
      <w:r w:rsidR="0034451B" w:rsidRPr="0034451B">
        <w:rPr>
          <w:b/>
        </w:rPr>
        <w:t>Account (% age 15+)</w:t>
      </w:r>
      <w:r w:rsidR="0034451B">
        <w:t xml:space="preserve">: The percentage of respondents who report having an account (by themselves or together with someone else) at a bank or another type of financial institution (see definition for </w:t>
      </w:r>
      <w:r w:rsidR="0034451B">
        <w:lastRenderedPageBreak/>
        <w:t>“account at a financial institution”) or personally using a mobile money service in the past 12 months (see definition for “mobile money account”).</w:t>
      </w:r>
    </w:p>
    <w:p w:rsidR="00591274" w:rsidRPr="00B30B1F" w:rsidRDefault="00591274" w:rsidP="00591274">
      <w:pPr>
        <w:pStyle w:val="NoSpacing"/>
        <w:jc w:val="both"/>
      </w:pPr>
    </w:p>
    <w:p w:rsidR="00591274" w:rsidRPr="00B30B1F" w:rsidRDefault="00591274" w:rsidP="00591274">
      <w:pPr>
        <w:pStyle w:val="NoSpacing"/>
        <w:jc w:val="both"/>
        <w:rPr>
          <w:rFonts w:eastAsia="Times New Roman"/>
          <w:lang w:eastAsia="en-GB"/>
        </w:rPr>
      </w:pPr>
    </w:p>
    <w:p w:rsidR="00591274" w:rsidRPr="00BA1A90" w:rsidRDefault="00591274" w:rsidP="00591274">
      <w:pPr>
        <w:pStyle w:val="NoSpacing"/>
        <w:jc w:val="both"/>
        <w:rPr>
          <w:rStyle w:val="Heading1Char"/>
          <w:sz w:val="24"/>
          <w:szCs w:val="24"/>
          <w:u w:val="single"/>
        </w:rPr>
      </w:pPr>
      <w:bookmarkStart w:id="3" w:name="p3"/>
      <w:r w:rsidRPr="00BA1A90">
        <w:rPr>
          <w:rStyle w:val="Heading1Char"/>
          <w:sz w:val="24"/>
          <w:szCs w:val="24"/>
          <w:u w:val="single"/>
        </w:rPr>
        <w:t>Rationale and Interpretation</w:t>
      </w:r>
      <w:bookmarkEnd w:id="3"/>
    </w:p>
    <w:p w:rsidR="00591274" w:rsidRDefault="009F448F" w:rsidP="00591274">
      <w:pPr>
        <w:pStyle w:val="NoSpacing"/>
        <w:jc w:val="both"/>
      </w:pPr>
      <w:r w:rsidRPr="008938FC">
        <w:rPr>
          <w:b/>
          <w:u w:val="single"/>
        </w:rPr>
        <w:t>Rationale</w:t>
      </w:r>
      <w:r w:rsidR="003022FA" w:rsidRPr="008938FC">
        <w:rPr>
          <w:b/>
          <w:u w:val="single"/>
        </w:rPr>
        <w:t xml:space="preserve"> for</w:t>
      </w:r>
      <w:r w:rsidR="008938FC">
        <w:rPr>
          <w:b/>
          <w:u w:val="single"/>
        </w:rPr>
        <w:t xml:space="preserve"> Target</w:t>
      </w:r>
      <w:r w:rsidR="003022FA" w:rsidRPr="008938FC">
        <w:rPr>
          <w:b/>
          <w:u w:val="single"/>
        </w:rPr>
        <w:t xml:space="preserve"> 1.4</w:t>
      </w:r>
      <w:r w:rsidRPr="008938FC">
        <w:rPr>
          <w:b/>
          <w:u w:val="single"/>
        </w:rPr>
        <w:t>:</w:t>
      </w:r>
      <w:r w:rsidRPr="009F448F">
        <w:t xml:space="preserve">   Access to formal financial services such as savings, insurance, payments, credit and remittances are essential to the ability of individuals, households, and enterprises to manage risks, increase savings, and grow their businesses. When people have access to a wider range of financial services, services that are appropriate to the opportunity or risk, and services that are affordable and responsibly provided, they are better equipped and empowered to make sound choices and manage their complex lives. It is important that financial access be coupled with the development of the necessary financial education, literacy and capabilities. </w:t>
      </w:r>
      <w:r w:rsidR="003F688C">
        <w:t>Having an account opens up possibilities of accessing a range of financial services.</w:t>
      </w:r>
      <w:r w:rsidR="003F688C" w:rsidRPr="009F448F">
        <w:t xml:space="preserve"> </w:t>
      </w:r>
      <w:r w:rsidRPr="009F448F">
        <w:t xml:space="preserve">There are significant gaps in account access between the poor and non-poor, with adults in the poorest income quintile in developing economies being half </w:t>
      </w:r>
      <w:proofErr w:type="gramStart"/>
      <w:r w:rsidRPr="009F448F">
        <w:t>as likely to be banked than</w:t>
      </w:r>
      <w:proofErr w:type="gramEnd"/>
      <w:r w:rsidRPr="009F448F">
        <w:t xml:space="preserve"> those in the richest quintile. Technology offers the possibility of rapidly expanding access and use of financial services through the increasing ubiquity of mobile phone technology and access to the internet</w:t>
      </w:r>
      <w:r w:rsidR="00CD5DD6">
        <w:t>, as well as point of sale devices in conjunction with agent networks</w:t>
      </w:r>
      <w:r w:rsidRPr="009F448F">
        <w:t>.</w:t>
      </w:r>
      <w:r w:rsidR="00CD5DD6">
        <w:t xml:space="preserve">  </w:t>
      </w:r>
    </w:p>
    <w:p w:rsidR="003022FA" w:rsidRDefault="003022FA" w:rsidP="00591274">
      <w:pPr>
        <w:pStyle w:val="NoSpacing"/>
        <w:jc w:val="both"/>
      </w:pPr>
    </w:p>
    <w:p w:rsidR="003022FA" w:rsidRDefault="003022FA" w:rsidP="003022FA">
      <w:pPr>
        <w:pStyle w:val="NoSpacing"/>
        <w:jc w:val="both"/>
      </w:pPr>
      <w:r w:rsidRPr="008938FC">
        <w:rPr>
          <w:b/>
          <w:u w:val="single"/>
        </w:rPr>
        <w:t xml:space="preserve">Rationale for </w:t>
      </w:r>
      <w:r w:rsidR="008938FC">
        <w:rPr>
          <w:b/>
          <w:u w:val="single"/>
        </w:rPr>
        <w:t xml:space="preserve">Target </w:t>
      </w:r>
      <w:r w:rsidRPr="008938FC">
        <w:rPr>
          <w:b/>
          <w:u w:val="single"/>
        </w:rPr>
        <w:t>2.3:</w:t>
      </w:r>
      <w:r>
        <w:t xml:space="preserve"> Agriculture plays a vital role in most countries – over 80% of rural </w:t>
      </w:r>
      <w:proofErr w:type="gramStart"/>
      <w:r>
        <w:t>households</w:t>
      </w:r>
      <w:proofErr w:type="gramEnd"/>
      <w:r>
        <w:t xml:space="preserve"> farm to some extent, and typically it is the poorest households that rely most on farming and agricultural </w:t>
      </w:r>
      <w:proofErr w:type="spellStart"/>
      <w:r>
        <w:t>labor</w:t>
      </w:r>
      <w:proofErr w:type="spellEnd"/>
      <w:r>
        <w:t>.  Financial inclusion is an enabler and accelerator of food security, nutrition, and rural development.  Financial services such as savings, insurance, payments, credit and remittances are critical for rural people, particularly women, to meet their basic needs, invest in their farms and livestock and enterprises, and lift them</w:t>
      </w:r>
      <w:r w:rsidR="00CD5DD6">
        <w:t>selves</w:t>
      </w:r>
      <w:r>
        <w:t xml:space="preserve"> out of poverty.  </w:t>
      </w:r>
      <w:r w:rsidR="00F2441B">
        <w:t xml:space="preserve">When people have access to financial accounts, they are more likely to also have </w:t>
      </w:r>
      <w:r w:rsidR="00EA6B8A">
        <w:t>loans and savings</w:t>
      </w:r>
      <w:r w:rsidR="00CD5DD6">
        <w:t>, as well as building a financial history to enable them to access credit and other financial services</w:t>
      </w:r>
      <w:r w:rsidR="00EA6B8A">
        <w:t>. Moreover, w</w:t>
      </w:r>
      <w:r>
        <w:t>hen they have access to resources, rural people can:</w:t>
      </w:r>
    </w:p>
    <w:p w:rsidR="003022FA" w:rsidRDefault="003022FA" w:rsidP="00F2441B">
      <w:pPr>
        <w:pStyle w:val="NoSpacing"/>
        <w:numPr>
          <w:ilvl w:val="0"/>
          <w:numId w:val="2"/>
        </w:numPr>
        <w:jc w:val="both"/>
      </w:pPr>
      <w:r>
        <w:t>Increase their food production and consumption</w:t>
      </w:r>
    </w:p>
    <w:p w:rsidR="003022FA" w:rsidRDefault="003022FA" w:rsidP="00F2441B">
      <w:pPr>
        <w:pStyle w:val="NoSpacing"/>
        <w:numPr>
          <w:ilvl w:val="0"/>
          <w:numId w:val="2"/>
        </w:numPr>
        <w:jc w:val="both"/>
      </w:pPr>
      <w:r>
        <w:t xml:space="preserve">Contribute to greater food security for all </w:t>
      </w:r>
    </w:p>
    <w:p w:rsidR="003022FA" w:rsidRDefault="003022FA" w:rsidP="00F2441B">
      <w:pPr>
        <w:pStyle w:val="NoSpacing"/>
        <w:numPr>
          <w:ilvl w:val="0"/>
          <w:numId w:val="2"/>
        </w:numPr>
        <w:jc w:val="both"/>
      </w:pPr>
      <w:r>
        <w:t xml:space="preserve">Adopt practices and technologies that help them adapt to changing climate, protect the environment and use resources in a sustainable way </w:t>
      </w:r>
    </w:p>
    <w:p w:rsidR="003022FA" w:rsidRDefault="003022FA" w:rsidP="00F2441B">
      <w:pPr>
        <w:pStyle w:val="NoSpacing"/>
        <w:numPr>
          <w:ilvl w:val="0"/>
          <w:numId w:val="2"/>
        </w:numPr>
        <w:jc w:val="both"/>
      </w:pPr>
      <w:r>
        <w:t>Protect themselves from risks and unforeseen events</w:t>
      </w:r>
    </w:p>
    <w:p w:rsidR="003022FA" w:rsidRDefault="003022FA" w:rsidP="00F2441B">
      <w:pPr>
        <w:pStyle w:val="NoSpacing"/>
        <w:numPr>
          <w:ilvl w:val="0"/>
          <w:numId w:val="2"/>
        </w:numPr>
        <w:jc w:val="both"/>
      </w:pPr>
      <w:r>
        <w:t>Create new rural livelihoods, businesses and off-farm employment, including for youth</w:t>
      </w:r>
    </w:p>
    <w:p w:rsidR="003022FA" w:rsidRDefault="003022FA" w:rsidP="00F2441B">
      <w:pPr>
        <w:pStyle w:val="NoSpacing"/>
        <w:numPr>
          <w:ilvl w:val="0"/>
          <w:numId w:val="2"/>
        </w:numPr>
        <w:jc w:val="both"/>
      </w:pPr>
      <w:r>
        <w:t>Enjoy equitable and resilient growth</w:t>
      </w:r>
    </w:p>
    <w:p w:rsidR="003022FA" w:rsidRDefault="003022FA" w:rsidP="00F2441B">
      <w:pPr>
        <w:pStyle w:val="NoSpacing"/>
        <w:numPr>
          <w:ilvl w:val="0"/>
          <w:numId w:val="2"/>
        </w:numPr>
        <w:jc w:val="both"/>
      </w:pPr>
      <w:r>
        <w:t>Safeguard their futures</w:t>
      </w:r>
    </w:p>
    <w:p w:rsidR="003022FA" w:rsidRDefault="003022FA" w:rsidP="003022FA">
      <w:pPr>
        <w:pStyle w:val="NoSpacing"/>
        <w:jc w:val="both"/>
      </w:pPr>
    </w:p>
    <w:p w:rsidR="00923284" w:rsidRDefault="00923284" w:rsidP="003022FA">
      <w:pPr>
        <w:pStyle w:val="NoSpacing"/>
        <w:jc w:val="both"/>
        <w:rPr>
          <w:i/>
        </w:rPr>
      </w:pPr>
    </w:p>
    <w:p w:rsidR="00923284" w:rsidRDefault="00923284" w:rsidP="003022FA">
      <w:pPr>
        <w:pStyle w:val="NoSpacing"/>
        <w:jc w:val="both"/>
      </w:pPr>
      <w:r w:rsidRPr="008938FC">
        <w:rPr>
          <w:b/>
          <w:u w:val="single"/>
        </w:rPr>
        <w:t>Rationale for 5.a</w:t>
      </w:r>
      <w:r>
        <w:t>:</w:t>
      </w:r>
      <w:r w:rsidRPr="00923284">
        <w:t xml:space="preserve">   Expanding women’s account ownership can lead to increases in both savings and productivity.  Moreover, studies have shown that an individually held account can lead to an increase in female decision-making power within the household and a shift in household purchases, thereby </w:t>
      </w:r>
      <w:proofErr w:type="spellStart"/>
      <w:r w:rsidRPr="00923284">
        <w:t>catalyzing</w:t>
      </w:r>
      <w:proofErr w:type="spellEnd"/>
      <w:r w:rsidRPr="00923284">
        <w:t xml:space="preserve"> greater economic and social empowerment.   The </w:t>
      </w:r>
      <w:r w:rsidR="00CD5DD6">
        <w:t>gender gap in account ownership of 9</w:t>
      </w:r>
      <w:r w:rsidRPr="00923284">
        <w:t xml:space="preserve"> percentage points across income groups in developing countries is the result of</w:t>
      </w:r>
      <w:r w:rsidR="00CD5DD6">
        <w:t xml:space="preserve"> both legal and cultural norms.  Innovations, such as mobile money, are providing new ways for women to access financial services which meet their needs for privacy, control, and convenience, when designed well.</w:t>
      </w:r>
    </w:p>
    <w:p w:rsidR="00923284" w:rsidRDefault="00923284" w:rsidP="003022FA">
      <w:pPr>
        <w:pStyle w:val="NoSpacing"/>
        <w:jc w:val="both"/>
      </w:pPr>
    </w:p>
    <w:p w:rsidR="0006672D" w:rsidRPr="00923284" w:rsidRDefault="0006672D" w:rsidP="003022FA">
      <w:pPr>
        <w:pStyle w:val="NoSpacing"/>
        <w:jc w:val="both"/>
      </w:pPr>
      <w:r w:rsidRPr="008938FC">
        <w:rPr>
          <w:b/>
          <w:u w:val="single"/>
        </w:rPr>
        <w:t>Rationale for 10.2</w:t>
      </w:r>
      <w:r>
        <w:t xml:space="preserve">: </w:t>
      </w:r>
      <w:r w:rsidRPr="0006672D">
        <w:t xml:space="preserve">Addressing disparities in access to financial services is a means to promoting equality. Access to formal financial services such as savings, insurance, payments, credit and remittances is essential to the ability of people—regardless of income level, gender, age, education or where they </w:t>
      </w:r>
      <w:r w:rsidRPr="0006672D">
        <w:lastRenderedPageBreak/>
        <w:t xml:space="preserve">live—to manage their lives, build their futures, and grow their businesses.  </w:t>
      </w:r>
      <w:r w:rsidR="003F688C">
        <w:t xml:space="preserve">Having access to an account is an important starting point for people to access a range of financial services.  </w:t>
      </w:r>
      <w:r w:rsidRPr="0006672D">
        <w:t>Currently youth, women, rural inhabitants, those with less education and the poor are far less likely to have an account at a fo</w:t>
      </w:r>
      <w:r w:rsidR="003F688C">
        <w:t>rmal financial institution or in a mobile account.  These</w:t>
      </w:r>
      <w:r w:rsidRPr="0006672D">
        <w:t xml:space="preserve"> gap</w:t>
      </w:r>
      <w:r w:rsidR="003F688C">
        <w:t>s</w:t>
      </w:r>
      <w:r w:rsidRPr="0006672D">
        <w:t xml:space="preserve"> in access affect their ability to protect themselves from shocks, build assets, and invest in the future.  Social protection systems can not only reduce the risk for vulnerable groups, but by making payments electronically into financially inclusive accounts can position beneficiaries to participate more fully in the economy and society. </w:t>
      </w:r>
    </w:p>
    <w:p w:rsidR="009F448F" w:rsidRDefault="009F448F" w:rsidP="00591274">
      <w:pPr>
        <w:pStyle w:val="NoSpacing"/>
        <w:jc w:val="both"/>
        <w:rPr>
          <w:rStyle w:val="Heading1Char"/>
          <w:bCs w:val="0"/>
        </w:rPr>
      </w:pPr>
    </w:p>
    <w:p w:rsidR="00923284" w:rsidRPr="00B30B1F" w:rsidRDefault="00923284" w:rsidP="00591274">
      <w:pPr>
        <w:pStyle w:val="NoSpacing"/>
        <w:jc w:val="both"/>
        <w:rPr>
          <w:rStyle w:val="Heading1Char"/>
          <w:bCs w:val="0"/>
        </w:rPr>
      </w:pPr>
    </w:p>
    <w:p w:rsidR="00591274" w:rsidRPr="00BA1A90" w:rsidRDefault="00591274" w:rsidP="00591274">
      <w:pPr>
        <w:pStyle w:val="NoSpacing"/>
        <w:jc w:val="both"/>
        <w:rPr>
          <w:rStyle w:val="Heading1Char"/>
          <w:sz w:val="24"/>
          <w:szCs w:val="24"/>
          <w:u w:val="single"/>
        </w:rPr>
      </w:pPr>
      <w:r w:rsidRPr="00BA1A90">
        <w:rPr>
          <w:rStyle w:val="Heading1Char"/>
          <w:bCs w:val="0"/>
          <w:sz w:val="24"/>
          <w:szCs w:val="24"/>
          <w:u w:val="single"/>
        </w:rPr>
        <w:t>Sources and Data Collection</w:t>
      </w:r>
    </w:p>
    <w:p w:rsidR="00055323" w:rsidRDefault="008938FC" w:rsidP="00591274">
      <w:pPr>
        <w:pStyle w:val="NoSpacing"/>
        <w:jc w:val="both"/>
      </w:pPr>
      <w:r w:rsidRPr="008938FC">
        <w:rPr>
          <w:b/>
        </w:rPr>
        <w:t xml:space="preserve">The Global </w:t>
      </w:r>
      <w:proofErr w:type="spellStart"/>
      <w:r w:rsidRPr="008938FC">
        <w:rPr>
          <w:b/>
        </w:rPr>
        <w:t>Findex</w:t>
      </w:r>
      <w:proofErr w:type="spellEnd"/>
      <w:r w:rsidRPr="008938FC">
        <w:t xml:space="preserve"> is the only global demand-side data source allowing for global and regional cross-country analysis.</w:t>
      </w:r>
      <w:r w:rsidR="00055323">
        <w:t xml:space="preserve"> The </w:t>
      </w:r>
      <w:r w:rsidR="003F688C">
        <w:t xml:space="preserve">over 100 </w:t>
      </w:r>
      <w:r w:rsidR="00B33CA9">
        <w:t xml:space="preserve">indicators in the </w:t>
      </w:r>
      <w:r w:rsidR="00055323">
        <w:t>2014</w:t>
      </w:r>
      <w:r w:rsidR="00055323" w:rsidRPr="00055323">
        <w:t xml:space="preserve"> Global Financial Inclusion (Global </w:t>
      </w:r>
      <w:proofErr w:type="spellStart"/>
      <w:r w:rsidR="00055323" w:rsidRPr="00055323">
        <w:t>Findex</w:t>
      </w:r>
      <w:proofErr w:type="spellEnd"/>
      <w:r w:rsidR="00055323" w:rsidRPr="00055323">
        <w:t>) database are drawn from survey data covering almost 150,00</w:t>
      </w:r>
      <w:r w:rsidR="00684A79">
        <w:t>0 people in 143</w:t>
      </w:r>
      <w:r w:rsidR="003F688C">
        <w:t xml:space="preserve"> econo</w:t>
      </w:r>
      <w:r w:rsidR="00055323" w:rsidRPr="00055323">
        <w:t xml:space="preserve">mies—representing more than 97 percent of the world’s population. The survey was </w:t>
      </w:r>
      <w:r w:rsidR="00684A79">
        <w:t>launched</w:t>
      </w:r>
      <w:r w:rsidR="003F688C">
        <w:t xml:space="preserve"> in 2011 by the World Bank with financial support from the Bill &amp; Melinda Gates Foundation.  The survey was again </w:t>
      </w:r>
      <w:r w:rsidR="00055323" w:rsidRPr="00055323">
        <w:t xml:space="preserve">carried out </w:t>
      </w:r>
      <w:r w:rsidR="003F688C">
        <w:t>in</w:t>
      </w:r>
      <w:r w:rsidR="00055323" w:rsidRPr="00055323">
        <w:t xml:space="preserve"> 2014 calendar year by Gallup, Inc. as part of its Gallup World Poll, which since 2005 has continually conducted surveys of approxi­mately 1,000 people in each of more than 160 economies and in over 140 languages, using randomly selected, </w:t>
      </w:r>
      <w:proofErr w:type="gramStart"/>
      <w:r w:rsidR="00055323" w:rsidRPr="00055323">
        <w:t>nationally</w:t>
      </w:r>
      <w:proofErr w:type="gramEnd"/>
      <w:r w:rsidR="00055323" w:rsidRPr="00055323">
        <w:t xml:space="preserve"> representative samples. The target population is the entire civilian, non</w:t>
      </w:r>
      <w:r w:rsidR="003F688C">
        <w:t>-</w:t>
      </w:r>
      <w:r w:rsidR="00055323" w:rsidRPr="00055323">
        <w:t>institutionalized population age 15 and above.</w:t>
      </w:r>
      <w:r w:rsidR="003F688C">
        <w:t xml:space="preserve">  The global survey will be conducted every three years.</w:t>
      </w:r>
    </w:p>
    <w:p w:rsidR="00055323" w:rsidRDefault="00055323" w:rsidP="00591274">
      <w:pPr>
        <w:pStyle w:val="NoSpacing"/>
        <w:jc w:val="both"/>
      </w:pPr>
    </w:p>
    <w:p w:rsidR="00B33CA9" w:rsidRPr="00B33CA9" w:rsidRDefault="00B33CA9" w:rsidP="00B33CA9">
      <w:pPr>
        <w:pStyle w:val="NoSpacing"/>
        <w:jc w:val="both"/>
        <w:rPr>
          <w:rFonts w:eastAsia="Times New Roman"/>
          <w:b/>
          <w:u w:val="single"/>
          <w:lang w:eastAsia="en-GB"/>
        </w:rPr>
      </w:pPr>
      <w:r w:rsidRPr="00B33CA9">
        <w:rPr>
          <w:rFonts w:eastAsia="Times New Roman"/>
          <w:b/>
          <w:u w:val="single"/>
          <w:lang w:eastAsia="en-GB"/>
        </w:rPr>
        <w:t>Data Collection: Interview Procedure</w:t>
      </w:r>
    </w:p>
    <w:p w:rsidR="00B33CA9" w:rsidRPr="00B33CA9" w:rsidRDefault="00B33CA9" w:rsidP="00B33CA9">
      <w:pPr>
        <w:pStyle w:val="NoSpacing"/>
        <w:jc w:val="both"/>
        <w:rPr>
          <w:rFonts w:eastAsia="Times New Roman"/>
          <w:lang w:eastAsia="en-GB"/>
        </w:rPr>
      </w:pPr>
      <w:r w:rsidRPr="00B33CA9">
        <w:rPr>
          <w:rFonts w:eastAsia="Times New Roman"/>
          <w:lang w:eastAsia="en-GB"/>
        </w:rPr>
        <w:t>Surveys are conducted face to face in economies where telephone coverage represents less than 80 percent of the popula</w:t>
      </w:r>
      <w:r w:rsidR="003F688C">
        <w:rPr>
          <w:rFonts w:eastAsia="Times New Roman"/>
          <w:lang w:eastAsia="en-GB"/>
        </w:rPr>
        <w:t>tion or is the customary method</w:t>
      </w:r>
      <w:r w:rsidRPr="00B33CA9">
        <w:rPr>
          <w:rFonts w:eastAsia="Times New Roman"/>
          <w:lang w:eastAsia="en-GB"/>
        </w:rPr>
        <w:t>ology. In most economies the fieldwork is completed in two to four weeks. In economies where face-to-face surveys are conducted, the first stage of sampling is the identification of primary sampling units. These units are stratified by population size, geography, or both, and clustering is achieved through one or more stages of sampling. Where population information is available, sample selection is based on probabilities proportional to population size; otherwise, simple random sampling is used. Random route procedures are used to select sampled households. Unless an outright refusal occurs, interviewers make up to three attempts to survey the sampled household. To increase the probability of contact and completion, attempts are made at different times of the day and, where possible, on different days. If an interview cannot be obtained at the initial sampled household, a simple substitution method is used. Respondents are randomly selected within the selected households by means of the Kish grid. In economies where cultural restrictions dictate gender matching, respondents are randomly selected through the Kish grid from among all eligible adults of the interviewer’s gender.</w:t>
      </w:r>
    </w:p>
    <w:p w:rsidR="00B33CA9" w:rsidRPr="00B33CA9" w:rsidRDefault="00B33CA9" w:rsidP="00B33CA9">
      <w:pPr>
        <w:pStyle w:val="NoSpacing"/>
        <w:jc w:val="both"/>
        <w:rPr>
          <w:rFonts w:eastAsia="Times New Roman"/>
          <w:lang w:eastAsia="en-GB"/>
        </w:rPr>
      </w:pPr>
      <w:r w:rsidRPr="00B33CA9">
        <w:rPr>
          <w:rFonts w:eastAsia="Times New Roman"/>
          <w:lang w:eastAsia="en-GB"/>
        </w:rPr>
        <w:t xml:space="preserve"> </w:t>
      </w:r>
    </w:p>
    <w:p w:rsidR="00591274" w:rsidRDefault="00B33CA9" w:rsidP="00B33CA9">
      <w:pPr>
        <w:pStyle w:val="NoSpacing"/>
        <w:jc w:val="both"/>
        <w:rPr>
          <w:rFonts w:eastAsia="Times New Roman"/>
          <w:lang w:eastAsia="en-GB"/>
        </w:rPr>
      </w:pPr>
      <w:r w:rsidRPr="00B33CA9">
        <w:rPr>
          <w:rFonts w:eastAsia="Times New Roman"/>
          <w:lang w:eastAsia="en-GB"/>
        </w:rPr>
        <w:t>In economies where telephone intervie</w:t>
      </w:r>
      <w:r w:rsidR="003F688C">
        <w:rPr>
          <w:rFonts w:eastAsia="Times New Roman"/>
          <w:lang w:eastAsia="en-GB"/>
        </w:rPr>
        <w:t xml:space="preserve">wing is em­ployed, random digit </w:t>
      </w:r>
      <w:proofErr w:type="spellStart"/>
      <w:r w:rsidRPr="00B33CA9">
        <w:rPr>
          <w:rFonts w:eastAsia="Times New Roman"/>
          <w:lang w:eastAsia="en-GB"/>
        </w:rPr>
        <w:t>dialing</w:t>
      </w:r>
      <w:proofErr w:type="spellEnd"/>
      <w:r w:rsidRPr="00B33CA9">
        <w:rPr>
          <w:rFonts w:eastAsia="Times New Roman"/>
          <w:lang w:eastAsia="en-GB"/>
        </w:rPr>
        <w:t xml:space="preserve"> or a nationally representative list of phone numbers is used. In most economies where cell phone penetration is high, a dual sampling frame is used. Random selection of re­spondents is achieved by using either the latest birthday or Kish grid method. At least three attempts are made to reach a person in each house­hold, spread over different days and times of day.</w:t>
      </w:r>
    </w:p>
    <w:p w:rsidR="00B33CA9" w:rsidRPr="00B30B1F" w:rsidRDefault="00B33CA9" w:rsidP="00B33CA9">
      <w:pPr>
        <w:pStyle w:val="NoSpacing"/>
        <w:jc w:val="both"/>
        <w:rPr>
          <w:rFonts w:eastAsia="Times New Roman"/>
          <w:lang w:eastAsia="en-GB"/>
        </w:rPr>
      </w:pPr>
    </w:p>
    <w:p w:rsidR="00591274" w:rsidRPr="00333E95" w:rsidRDefault="00591274" w:rsidP="00591274">
      <w:pPr>
        <w:pStyle w:val="NoSpacing"/>
        <w:jc w:val="both"/>
        <w:rPr>
          <w:rFonts w:ascii="Cambria" w:eastAsia="SimSun" w:hAnsi="Cambria"/>
          <w:b/>
          <w:bCs/>
          <w:color w:val="365F91"/>
          <w:sz w:val="24"/>
          <w:szCs w:val="24"/>
          <w:u w:val="single"/>
          <w:lang w:eastAsia="ja-JP"/>
        </w:rPr>
      </w:pPr>
      <w:bookmarkStart w:id="4" w:name="p5"/>
      <w:r w:rsidRPr="00BA1A90">
        <w:rPr>
          <w:rStyle w:val="Heading1Char"/>
          <w:sz w:val="24"/>
          <w:szCs w:val="24"/>
          <w:u w:val="single"/>
        </w:rPr>
        <w:t xml:space="preserve">Disaggregation </w:t>
      </w:r>
      <w:bookmarkStart w:id="5" w:name="p6"/>
      <w:bookmarkEnd w:id="4"/>
    </w:p>
    <w:p w:rsidR="00A96668" w:rsidRDefault="00764266" w:rsidP="00591274">
      <w:pPr>
        <w:pStyle w:val="NoSpacing"/>
        <w:jc w:val="both"/>
      </w:pPr>
      <w:r>
        <w:t>It is possible to disaggregate this indicator by</w:t>
      </w:r>
      <w:r w:rsidR="00F24FE8">
        <w:t xml:space="preserve"> </w:t>
      </w:r>
      <w:r w:rsidR="00684A79">
        <w:t xml:space="preserve">country and region, as well as by </w:t>
      </w:r>
      <w:r w:rsidR="00F24FE8">
        <w:t xml:space="preserve">income level, geography (rural/urban), gender, </w:t>
      </w:r>
      <w:proofErr w:type="gramStart"/>
      <w:r w:rsidR="00F24FE8">
        <w:t>age</w:t>
      </w:r>
      <w:proofErr w:type="gramEnd"/>
      <w:r w:rsidR="00F24FE8">
        <w:t xml:space="preserve"> and education level. </w:t>
      </w:r>
      <w:r>
        <w:t xml:space="preserve"> </w:t>
      </w:r>
      <w:r w:rsidR="007703C1">
        <w:t>Disaggregation</w:t>
      </w:r>
      <w:r w:rsidR="00F53567">
        <w:t xml:space="preserve"> </w:t>
      </w:r>
      <w:r w:rsidR="002F79C5">
        <w:t xml:space="preserve">is especially important </w:t>
      </w:r>
      <w:r w:rsidR="00F53567">
        <w:t>(1)</w:t>
      </w:r>
      <w:r w:rsidR="007703C1">
        <w:t xml:space="preserve"> by income level</w:t>
      </w:r>
      <w:r w:rsidR="00F53567">
        <w:t xml:space="preserve"> to</w:t>
      </w:r>
      <w:r w:rsidR="007703C1">
        <w:t xml:space="preserve"> monitor progress on target </w:t>
      </w:r>
      <w:r w:rsidR="00F53567">
        <w:t xml:space="preserve">1.4 </w:t>
      </w:r>
      <w:r w:rsidR="007703C1">
        <w:t>on poverty</w:t>
      </w:r>
      <w:r w:rsidR="00F53567">
        <w:t xml:space="preserve">; (2) by geographic location to monitor progress on target 2.3 </w:t>
      </w:r>
      <w:r w:rsidR="002F79C5">
        <w:t>on</w:t>
      </w:r>
      <w:r w:rsidR="00684A79">
        <w:t xml:space="preserve"> agricultural productivity; </w:t>
      </w:r>
      <w:r w:rsidR="002F79C5">
        <w:t xml:space="preserve">(3) by </w:t>
      </w:r>
      <w:r w:rsidR="00684A79">
        <w:t>gender to monitor progress on target 5.</w:t>
      </w:r>
      <w:proofErr w:type="spellStart"/>
      <w:r w:rsidR="00684A79">
        <w:t>a</w:t>
      </w:r>
      <w:proofErr w:type="spellEnd"/>
      <w:r w:rsidR="00684A79">
        <w:t xml:space="preserve"> on gender </w:t>
      </w:r>
      <w:r w:rsidR="00684A79">
        <w:lastRenderedPageBreak/>
        <w:t xml:space="preserve">equality and women’s empowerment; and (4) by all these </w:t>
      </w:r>
      <w:r w:rsidR="002F79C5">
        <w:t xml:space="preserve">dimensions to address issues of equality and inclusion </w:t>
      </w:r>
      <w:r w:rsidR="00684A79">
        <w:t xml:space="preserve">of all in target </w:t>
      </w:r>
      <w:r w:rsidR="004F6098">
        <w:t xml:space="preserve">10.2. </w:t>
      </w:r>
    </w:p>
    <w:p w:rsidR="00591274" w:rsidRPr="00B30B1F" w:rsidRDefault="00591274" w:rsidP="00591274">
      <w:pPr>
        <w:pStyle w:val="NoSpacing"/>
        <w:jc w:val="both"/>
        <w:rPr>
          <w:rStyle w:val="Heading1Char"/>
        </w:rPr>
      </w:pPr>
    </w:p>
    <w:p w:rsidR="00591274" w:rsidRPr="00BA1A90" w:rsidRDefault="00591274" w:rsidP="00591274">
      <w:pPr>
        <w:pStyle w:val="NoSpacing"/>
        <w:jc w:val="both"/>
        <w:rPr>
          <w:rStyle w:val="Heading1Char"/>
          <w:sz w:val="24"/>
          <w:szCs w:val="24"/>
          <w:u w:val="single"/>
        </w:rPr>
      </w:pPr>
      <w:r w:rsidRPr="00BA1A90">
        <w:rPr>
          <w:rStyle w:val="Heading1Char"/>
          <w:sz w:val="24"/>
          <w:szCs w:val="24"/>
          <w:u w:val="single"/>
        </w:rPr>
        <w:t xml:space="preserve">Comments and Limitations </w:t>
      </w:r>
      <w:bookmarkEnd w:id="5"/>
    </w:p>
    <w:p w:rsidR="00123BE1" w:rsidRDefault="009D5252" w:rsidP="00591274">
      <w:pPr>
        <w:pStyle w:val="NoSpacing"/>
        <w:jc w:val="both"/>
      </w:pPr>
      <w:bookmarkStart w:id="6" w:name="p7"/>
      <w:r>
        <w:t xml:space="preserve">In the event that there are future reviews to reduce the number of global SDG indicators, this indicator could also be used to monitor progress on Target 8.10 relating to the capacity of financial institutions. </w:t>
      </w:r>
    </w:p>
    <w:p w:rsidR="009D5252" w:rsidRPr="00B30B1F" w:rsidRDefault="009D5252" w:rsidP="00591274">
      <w:pPr>
        <w:pStyle w:val="NoSpacing"/>
        <w:jc w:val="both"/>
        <w:rPr>
          <w:rStyle w:val="Heading1Char"/>
          <w:bCs w:val="0"/>
        </w:rPr>
      </w:pPr>
    </w:p>
    <w:p w:rsidR="00591274" w:rsidRPr="00BA1A90" w:rsidRDefault="00591274" w:rsidP="00591274">
      <w:pPr>
        <w:pStyle w:val="NoSpacing"/>
        <w:jc w:val="both"/>
        <w:rPr>
          <w:rStyle w:val="Heading1Char"/>
          <w:sz w:val="24"/>
          <w:szCs w:val="24"/>
          <w:u w:val="single"/>
        </w:rPr>
      </w:pPr>
      <w:r w:rsidRPr="00BA1A90">
        <w:rPr>
          <w:rStyle w:val="Heading1Char"/>
          <w:bCs w:val="0"/>
          <w:sz w:val="24"/>
          <w:szCs w:val="24"/>
          <w:u w:val="single"/>
        </w:rPr>
        <w:t xml:space="preserve">Gender Equality Issues </w:t>
      </w:r>
      <w:bookmarkEnd w:id="6"/>
    </w:p>
    <w:p w:rsidR="00591274" w:rsidRDefault="00BA1A90" w:rsidP="00591274">
      <w:pPr>
        <w:pStyle w:val="NoSpacing"/>
        <w:jc w:val="both"/>
        <w:rPr>
          <w:rFonts w:eastAsia="Times New Roman"/>
          <w:lang w:eastAsia="en-GB"/>
        </w:rPr>
      </w:pPr>
      <w:r>
        <w:rPr>
          <w:rFonts w:eastAsia="Times New Roman"/>
          <w:lang w:eastAsia="en-GB"/>
        </w:rPr>
        <w:t xml:space="preserve">The indicator can be disaggregated by gender. </w:t>
      </w:r>
    </w:p>
    <w:p w:rsidR="00BA1A90" w:rsidRPr="00B30B1F" w:rsidRDefault="00BA1A90" w:rsidP="00591274">
      <w:pPr>
        <w:pStyle w:val="NoSpacing"/>
        <w:jc w:val="both"/>
        <w:rPr>
          <w:rFonts w:eastAsia="Times New Roman"/>
          <w:lang w:eastAsia="en-GB"/>
        </w:rPr>
      </w:pPr>
    </w:p>
    <w:p w:rsidR="00591274" w:rsidRPr="00BA1A90" w:rsidRDefault="00591274" w:rsidP="00591274">
      <w:pPr>
        <w:pStyle w:val="NoSpacing"/>
        <w:jc w:val="both"/>
        <w:rPr>
          <w:rStyle w:val="Heading1Char"/>
          <w:sz w:val="24"/>
          <w:szCs w:val="24"/>
          <w:u w:val="single"/>
        </w:rPr>
      </w:pPr>
      <w:bookmarkStart w:id="7" w:name="p8"/>
      <w:r w:rsidRPr="00BA1A90">
        <w:rPr>
          <w:rStyle w:val="Heading1Char"/>
          <w:sz w:val="24"/>
          <w:szCs w:val="24"/>
          <w:u w:val="single"/>
        </w:rPr>
        <w:t xml:space="preserve">Data for Global and Regional Monitoring </w:t>
      </w:r>
      <w:bookmarkEnd w:id="7"/>
    </w:p>
    <w:p w:rsidR="00591274" w:rsidRPr="00B30B1F" w:rsidRDefault="0034451B" w:rsidP="00591274">
      <w:pPr>
        <w:pStyle w:val="NoSpacing"/>
        <w:jc w:val="both"/>
        <w:rPr>
          <w:rFonts w:eastAsia="Times New Roman"/>
          <w:lang w:eastAsia="en-GB"/>
        </w:rPr>
      </w:pPr>
      <w:r>
        <w:rPr>
          <w:rFonts w:eastAsia="Times New Roman"/>
          <w:lang w:eastAsia="en-GB"/>
        </w:rPr>
        <w:t>The World Bank</w:t>
      </w:r>
      <w:r w:rsidR="00591274" w:rsidRPr="00B30B1F">
        <w:rPr>
          <w:rFonts w:eastAsia="Times New Roman"/>
          <w:lang w:eastAsia="en-GB"/>
        </w:rPr>
        <w:t xml:space="preserve"> is responsible for compiling this indicator at the international level</w:t>
      </w:r>
      <w:r w:rsidR="00BA1A90">
        <w:rPr>
          <w:rFonts w:eastAsia="Times New Roman"/>
          <w:lang w:eastAsia="en-GB"/>
        </w:rPr>
        <w:t>.</w:t>
      </w:r>
    </w:p>
    <w:p w:rsidR="00591274" w:rsidRPr="00B30B1F" w:rsidRDefault="00591274" w:rsidP="00591274">
      <w:pPr>
        <w:pStyle w:val="NoSpacing"/>
        <w:jc w:val="both"/>
        <w:rPr>
          <w:rFonts w:eastAsia="Times New Roman"/>
          <w:lang w:eastAsia="en-GB"/>
        </w:rPr>
      </w:pPr>
    </w:p>
    <w:p w:rsidR="00591274" w:rsidRPr="00BA1A90" w:rsidRDefault="00591274" w:rsidP="00591274">
      <w:pPr>
        <w:pStyle w:val="NoSpacing"/>
        <w:jc w:val="both"/>
        <w:rPr>
          <w:rStyle w:val="Heading1Char"/>
          <w:sz w:val="24"/>
          <w:szCs w:val="24"/>
          <w:u w:val="single"/>
        </w:rPr>
      </w:pPr>
      <w:r w:rsidRPr="00BA1A90">
        <w:rPr>
          <w:rStyle w:val="Heading1Char"/>
          <w:sz w:val="24"/>
          <w:szCs w:val="24"/>
          <w:u w:val="single"/>
        </w:rPr>
        <w:t>Supplementary Information</w:t>
      </w:r>
    </w:p>
    <w:p w:rsidR="00591274" w:rsidRPr="00B30B1F" w:rsidRDefault="00591274" w:rsidP="00591274">
      <w:pPr>
        <w:pStyle w:val="NoSpacing"/>
        <w:jc w:val="both"/>
        <w:rPr>
          <w:rStyle w:val="Heading1Char"/>
        </w:rPr>
      </w:pPr>
    </w:p>
    <w:p w:rsidR="00591274" w:rsidRPr="00BA1A90" w:rsidRDefault="00591274" w:rsidP="00591274">
      <w:pPr>
        <w:pStyle w:val="NoSpacing"/>
        <w:jc w:val="both"/>
        <w:rPr>
          <w:rStyle w:val="Heading1Char"/>
          <w:sz w:val="24"/>
          <w:szCs w:val="24"/>
          <w:u w:val="single"/>
        </w:rPr>
      </w:pPr>
      <w:r w:rsidRPr="00BA1A90">
        <w:rPr>
          <w:rStyle w:val="Heading1Char"/>
          <w:sz w:val="24"/>
          <w:szCs w:val="24"/>
          <w:u w:val="single"/>
        </w:rPr>
        <w:t>Examples</w:t>
      </w:r>
    </w:p>
    <w:p w:rsidR="0034451B" w:rsidRPr="00B30B1F" w:rsidRDefault="0034451B" w:rsidP="00591274">
      <w:pPr>
        <w:pStyle w:val="NoSpacing"/>
        <w:jc w:val="both"/>
        <w:rPr>
          <w:rStyle w:val="Heading1Char"/>
        </w:rPr>
      </w:pPr>
    </w:p>
    <w:p w:rsidR="00AE067B" w:rsidRPr="00BA1A90" w:rsidRDefault="00591274" w:rsidP="00591274">
      <w:pPr>
        <w:pStyle w:val="NoSpacing"/>
        <w:jc w:val="both"/>
        <w:rPr>
          <w:rStyle w:val="Heading1Char"/>
          <w:sz w:val="24"/>
          <w:szCs w:val="24"/>
          <w:u w:val="single"/>
        </w:rPr>
      </w:pPr>
      <w:r w:rsidRPr="00BA1A90">
        <w:rPr>
          <w:rStyle w:val="Heading1Char"/>
          <w:sz w:val="24"/>
          <w:szCs w:val="24"/>
          <w:u w:val="single"/>
        </w:rPr>
        <w:t>References</w:t>
      </w:r>
    </w:p>
    <w:p w:rsidR="00591274" w:rsidRPr="00B30B1F" w:rsidRDefault="0034451B" w:rsidP="00591274">
      <w:pPr>
        <w:pStyle w:val="NoSpacing"/>
        <w:jc w:val="both"/>
      </w:pPr>
      <w:proofErr w:type="spellStart"/>
      <w:r w:rsidRPr="0034451B">
        <w:rPr>
          <w:rFonts w:eastAsia="Times New Roman"/>
          <w:lang w:eastAsia="en-GB"/>
        </w:rPr>
        <w:t>Asli</w:t>
      </w:r>
      <w:proofErr w:type="spellEnd"/>
      <w:r w:rsidRPr="0034451B">
        <w:rPr>
          <w:rFonts w:eastAsia="Times New Roman"/>
          <w:lang w:eastAsia="en-GB"/>
        </w:rPr>
        <w:t xml:space="preserve"> </w:t>
      </w:r>
      <w:proofErr w:type="spellStart"/>
      <w:r w:rsidRPr="0034451B">
        <w:rPr>
          <w:rFonts w:eastAsia="Times New Roman"/>
          <w:lang w:eastAsia="en-GB"/>
        </w:rPr>
        <w:t>Demirguc-Kunt</w:t>
      </w:r>
      <w:proofErr w:type="spellEnd"/>
      <w:r w:rsidRPr="0034451B">
        <w:rPr>
          <w:rFonts w:eastAsia="Times New Roman"/>
          <w:lang w:eastAsia="en-GB"/>
        </w:rPr>
        <w:t xml:space="preserve">, </w:t>
      </w:r>
      <w:proofErr w:type="spellStart"/>
      <w:r w:rsidRPr="0034451B">
        <w:rPr>
          <w:rFonts w:eastAsia="Times New Roman"/>
          <w:lang w:eastAsia="en-GB"/>
        </w:rPr>
        <w:t>Leora</w:t>
      </w:r>
      <w:proofErr w:type="spellEnd"/>
      <w:r w:rsidRPr="0034451B">
        <w:rPr>
          <w:rFonts w:eastAsia="Times New Roman"/>
          <w:lang w:eastAsia="en-GB"/>
        </w:rPr>
        <w:t xml:space="preserve"> </w:t>
      </w:r>
      <w:proofErr w:type="spellStart"/>
      <w:r w:rsidRPr="0034451B">
        <w:rPr>
          <w:rFonts w:eastAsia="Times New Roman"/>
          <w:lang w:eastAsia="en-GB"/>
        </w:rPr>
        <w:t>Klapper</w:t>
      </w:r>
      <w:proofErr w:type="spellEnd"/>
      <w:r w:rsidRPr="0034451B">
        <w:rPr>
          <w:rFonts w:eastAsia="Times New Roman"/>
          <w:lang w:eastAsia="en-GB"/>
        </w:rPr>
        <w:t xml:space="preserve">, </w:t>
      </w:r>
      <w:proofErr w:type="spellStart"/>
      <w:r w:rsidRPr="0034451B">
        <w:rPr>
          <w:rFonts w:eastAsia="Times New Roman"/>
          <w:lang w:eastAsia="en-GB"/>
        </w:rPr>
        <w:t>Dorothe</w:t>
      </w:r>
      <w:proofErr w:type="spellEnd"/>
      <w:r w:rsidRPr="0034451B">
        <w:rPr>
          <w:rFonts w:eastAsia="Times New Roman"/>
          <w:lang w:eastAsia="en-GB"/>
        </w:rPr>
        <w:t xml:space="preserve"> Singer, and Peter Van </w:t>
      </w:r>
      <w:proofErr w:type="spellStart"/>
      <w:r w:rsidRPr="0034451B">
        <w:rPr>
          <w:rFonts w:eastAsia="Times New Roman"/>
          <w:lang w:eastAsia="en-GB"/>
        </w:rPr>
        <w:t>Oudheusden</w:t>
      </w:r>
      <w:proofErr w:type="spellEnd"/>
      <w:r w:rsidRPr="0034451B">
        <w:rPr>
          <w:rFonts w:eastAsia="Times New Roman"/>
          <w:lang w:eastAsia="en-GB"/>
        </w:rPr>
        <w:t xml:space="preserve">, “The Global </w:t>
      </w:r>
      <w:proofErr w:type="spellStart"/>
      <w:r w:rsidRPr="0034451B">
        <w:rPr>
          <w:rFonts w:eastAsia="Times New Roman"/>
          <w:lang w:eastAsia="en-GB"/>
        </w:rPr>
        <w:t>Findex</w:t>
      </w:r>
      <w:proofErr w:type="spellEnd"/>
      <w:r w:rsidRPr="0034451B">
        <w:rPr>
          <w:rFonts w:eastAsia="Times New Roman"/>
          <w:lang w:eastAsia="en-GB"/>
        </w:rPr>
        <w:t xml:space="preserve"> Database 2014: Measuring Financial Inclusion around the World”. Policy Research Working Paper 7255</w:t>
      </w:r>
      <w:r w:rsidR="00591274" w:rsidRPr="00B30B1F">
        <w:rPr>
          <w:rFonts w:eastAsia="Times New Roman"/>
          <w:lang w:eastAsia="en-GB"/>
        </w:rPr>
        <w:br/>
      </w:r>
    </w:p>
    <w:p w:rsidR="00591274" w:rsidRPr="00CD5DD6" w:rsidRDefault="006039DC">
      <w:pPr>
        <w:rPr>
          <w:lang w:val="fr-FR"/>
        </w:rPr>
      </w:pPr>
      <w:r>
        <w:t xml:space="preserve">Data for all indicators can be found on the website. </w:t>
      </w:r>
      <w:proofErr w:type="gramStart"/>
      <w:r w:rsidR="000726BF">
        <w:t>World Bank.</w:t>
      </w:r>
      <w:proofErr w:type="gramEnd"/>
      <w:r w:rsidR="000726BF">
        <w:t xml:space="preserve"> </w:t>
      </w:r>
      <w:proofErr w:type="gramStart"/>
      <w:r w:rsidR="000726BF">
        <w:rPr>
          <w:i/>
        </w:rPr>
        <w:t xml:space="preserve">Global </w:t>
      </w:r>
      <w:proofErr w:type="spellStart"/>
      <w:r w:rsidR="000726BF">
        <w:rPr>
          <w:i/>
        </w:rPr>
        <w:t>Findex</w:t>
      </w:r>
      <w:proofErr w:type="spellEnd"/>
      <w:r w:rsidR="000726BF">
        <w:rPr>
          <w:i/>
        </w:rPr>
        <w:t>.</w:t>
      </w:r>
      <w:proofErr w:type="gramEnd"/>
      <w:r w:rsidR="000726BF">
        <w:rPr>
          <w:i/>
        </w:rPr>
        <w:t xml:space="preserve"> </w:t>
      </w:r>
      <w:r w:rsidR="000726BF">
        <w:t xml:space="preserve">Washington, DC. </w:t>
      </w:r>
      <w:r w:rsidR="000726BF" w:rsidRPr="00CD5DD6">
        <w:rPr>
          <w:lang w:val="fr-FR"/>
        </w:rPr>
        <w:t xml:space="preserve">Internet site: </w:t>
      </w:r>
      <w:hyperlink r:id="rId6" w:history="1">
        <w:r w:rsidR="00684A79" w:rsidRPr="00FA493F">
          <w:rPr>
            <w:rStyle w:val="Hyperlink"/>
            <w:lang w:val="fr-FR"/>
          </w:rPr>
          <w:t>http://www.worldbank.org/en/programs/globalfindex</w:t>
        </w:r>
      </w:hyperlink>
      <w:r w:rsidR="00684A79">
        <w:rPr>
          <w:lang w:val="fr-FR"/>
        </w:rPr>
        <w:t xml:space="preserve"> </w:t>
      </w:r>
    </w:p>
    <w:sectPr w:rsidR="00591274" w:rsidRPr="00CD5D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2084"/>
    <w:multiLevelType w:val="hybridMultilevel"/>
    <w:tmpl w:val="58F2B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CB450F7"/>
    <w:multiLevelType w:val="hybridMultilevel"/>
    <w:tmpl w:val="5D72401C"/>
    <w:lvl w:ilvl="0" w:tplc="FD94AF5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274"/>
    <w:rsid w:val="00055323"/>
    <w:rsid w:val="00056544"/>
    <w:rsid w:val="0006672D"/>
    <w:rsid w:val="000726BF"/>
    <w:rsid w:val="00123BE1"/>
    <w:rsid w:val="00273FED"/>
    <w:rsid w:val="0027734D"/>
    <w:rsid w:val="002914CF"/>
    <w:rsid w:val="002F79C5"/>
    <w:rsid w:val="003022FA"/>
    <w:rsid w:val="00333E95"/>
    <w:rsid w:val="0034451B"/>
    <w:rsid w:val="003C6983"/>
    <w:rsid w:val="003F688C"/>
    <w:rsid w:val="00452809"/>
    <w:rsid w:val="004F4A77"/>
    <w:rsid w:val="004F6098"/>
    <w:rsid w:val="0050468D"/>
    <w:rsid w:val="005711E2"/>
    <w:rsid w:val="00591274"/>
    <w:rsid w:val="005D13B1"/>
    <w:rsid w:val="006039DC"/>
    <w:rsid w:val="006345A8"/>
    <w:rsid w:val="00684A79"/>
    <w:rsid w:val="00703CA9"/>
    <w:rsid w:val="0075556D"/>
    <w:rsid w:val="00764266"/>
    <w:rsid w:val="007703C1"/>
    <w:rsid w:val="008938FC"/>
    <w:rsid w:val="008B0701"/>
    <w:rsid w:val="008F6649"/>
    <w:rsid w:val="00923284"/>
    <w:rsid w:val="0098364B"/>
    <w:rsid w:val="009D5252"/>
    <w:rsid w:val="009D6B31"/>
    <w:rsid w:val="009F01AA"/>
    <w:rsid w:val="009F448F"/>
    <w:rsid w:val="00A96668"/>
    <w:rsid w:val="00AB76C2"/>
    <w:rsid w:val="00AE067B"/>
    <w:rsid w:val="00B07637"/>
    <w:rsid w:val="00B33CA9"/>
    <w:rsid w:val="00B605FC"/>
    <w:rsid w:val="00BA1A90"/>
    <w:rsid w:val="00BB6886"/>
    <w:rsid w:val="00C21E76"/>
    <w:rsid w:val="00CD5DD6"/>
    <w:rsid w:val="00E15A40"/>
    <w:rsid w:val="00E24D38"/>
    <w:rsid w:val="00EA6B8A"/>
    <w:rsid w:val="00EE332C"/>
    <w:rsid w:val="00F2441B"/>
    <w:rsid w:val="00F24FE8"/>
    <w:rsid w:val="00F53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91274"/>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274"/>
    <w:rPr>
      <w:rFonts w:ascii="Cambria" w:eastAsia="SimSun" w:hAnsi="Cambria" w:cs="Times New Roman"/>
      <w:b/>
      <w:bCs/>
      <w:color w:val="365F91"/>
      <w:sz w:val="28"/>
      <w:szCs w:val="28"/>
      <w:lang w:val="en-GB" w:eastAsia="ja-JP"/>
    </w:rPr>
  </w:style>
  <w:style w:type="character" w:styleId="Hyperlink">
    <w:name w:val="Hyperlink"/>
    <w:unhideWhenUsed/>
    <w:rsid w:val="00591274"/>
    <w:rPr>
      <w:color w:val="0000FF"/>
      <w:u w:val="single"/>
    </w:rPr>
  </w:style>
  <w:style w:type="paragraph" w:styleId="NoSpacing">
    <w:name w:val="No Spacing"/>
    <w:uiPriority w:val="1"/>
    <w:qFormat/>
    <w:rsid w:val="00591274"/>
    <w:pPr>
      <w:spacing w:after="0" w:line="240" w:lineRule="auto"/>
    </w:pPr>
    <w:rPr>
      <w:rFonts w:ascii="Calibri" w:eastAsia="Calibri" w:hAnsi="Calibri" w:cs="Times New Roman"/>
      <w:lang w:val="en-GB"/>
    </w:rPr>
  </w:style>
  <w:style w:type="paragraph" w:styleId="BalloonText">
    <w:name w:val="Balloon Text"/>
    <w:basedOn w:val="Normal"/>
    <w:link w:val="BalloonTextChar"/>
    <w:uiPriority w:val="99"/>
    <w:semiHidden/>
    <w:unhideWhenUsed/>
    <w:rsid w:val="00E15A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A4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91274"/>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274"/>
    <w:rPr>
      <w:rFonts w:ascii="Cambria" w:eastAsia="SimSun" w:hAnsi="Cambria" w:cs="Times New Roman"/>
      <w:b/>
      <w:bCs/>
      <w:color w:val="365F91"/>
      <w:sz w:val="28"/>
      <w:szCs w:val="28"/>
      <w:lang w:val="en-GB" w:eastAsia="ja-JP"/>
    </w:rPr>
  </w:style>
  <w:style w:type="character" w:styleId="Hyperlink">
    <w:name w:val="Hyperlink"/>
    <w:unhideWhenUsed/>
    <w:rsid w:val="00591274"/>
    <w:rPr>
      <w:color w:val="0000FF"/>
      <w:u w:val="single"/>
    </w:rPr>
  </w:style>
  <w:style w:type="paragraph" w:styleId="NoSpacing">
    <w:name w:val="No Spacing"/>
    <w:uiPriority w:val="1"/>
    <w:qFormat/>
    <w:rsid w:val="00591274"/>
    <w:pPr>
      <w:spacing w:after="0" w:line="240" w:lineRule="auto"/>
    </w:pPr>
    <w:rPr>
      <w:rFonts w:ascii="Calibri" w:eastAsia="Calibri" w:hAnsi="Calibri" w:cs="Times New Roman"/>
      <w:lang w:val="en-GB"/>
    </w:rPr>
  </w:style>
  <w:style w:type="paragraph" w:styleId="BalloonText">
    <w:name w:val="Balloon Text"/>
    <w:basedOn w:val="Normal"/>
    <w:link w:val="BalloonTextChar"/>
    <w:uiPriority w:val="99"/>
    <w:semiHidden/>
    <w:unhideWhenUsed/>
    <w:rsid w:val="00E15A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A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4021231">
      <w:bodyDiv w:val="1"/>
      <w:marLeft w:val="0"/>
      <w:marRight w:val="0"/>
      <w:marTop w:val="0"/>
      <w:marBottom w:val="0"/>
      <w:divBdr>
        <w:top w:val="none" w:sz="0" w:space="0" w:color="auto"/>
        <w:left w:val="none" w:sz="0" w:space="0" w:color="auto"/>
        <w:bottom w:val="none" w:sz="0" w:space="0" w:color="auto"/>
        <w:right w:val="none" w:sz="0" w:space="0" w:color="auto"/>
      </w:divBdr>
      <w:divsChild>
        <w:div w:id="1351880000">
          <w:marLeft w:val="0"/>
          <w:marRight w:val="0"/>
          <w:marTop w:val="0"/>
          <w:marBottom w:val="0"/>
          <w:divBdr>
            <w:top w:val="none" w:sz="0" w:space="0" w:color="auto"/>
            <w:left w:val="none" w:sz="0" w:space="0" w:color="auto"/>
            <w:bottom w:val="none" w:sz="0" w:space="0" w:color="auto"/>
            <w:right w:val="none" w:sz="0" w:space="0" w:color="auto"/>
          </w:divBdr>
          <w:divsChild>
            <w:div w:id="1167945000">
              <w:marLeft w:val="0"/>
              <w:marRight w:val="0"/>
              <w:marTop w:val="0"/>
              <w:marBottom w:val="0"/>
              <w:divBdr>
                <w:top w:val="none" w:sz="0" w:space="0" w:color="auto"/>
                <w:left w:val="none" w:sz="0" w:space="0" w:color="auto"/>
                <w:bottom w:val="none" w:sz="0" w:space="0" w:color="auto"/>
                <w:right w:val="none" w:sz="0" w:space="0" w:color="auto"/>
              </w:divBdr>
              <w:divsChild>
                <w:div w:id="722605406">
                  <w:marLeft w:val="0"/>
                  <w:marRight w:val="0"/>
                  <w:marTop w:val="0"/>
                  <w:marBottom w:val="0"/>
                  <w:divBdr>
                    <w:top w:val="none" w:sz="0" w:space="0" w:color="auto"/>
                    <w:left w:val="none" w:sz="0" w:space="0" w:color="auto"/>
                    <w:bottom w:val="none" w:sz="0" w:space="0" w:color="auto"/>
                    <w:right w:val="none" w:sz="0" w:space="0" w:color="auto"/>
                  </w:divBdr>
                  <w:divsChild>
                    <w:div w:id="788747378">
                      <w:marLeft w:val="0"/>
                      <w:marRight w:val="0"/>
                      <w:marTop w:val="0"/>
                      <w:marBottom w:val="0"/>
                      <w:divBdr>
                        <w:top w:val="none" w:sz="0" w:space="0" w:color="auto"/>
                        <w:left w:val="none" w:sz="0" w:space="0" w:color="auto"/>
                        <w:bottom w:val="none" w:sz="0" w:space="0" w:color="auto"/>
                        <w:right w:val="none" w:sz="0" w:space="0" w:color="auto"/>
                      </w:divBdr>
                      <w:divsChild>
                        <w:div w:id="1049184079">
                          <w:marLeft w:val="90"/>
                          <w:marRight w:val="90"/>
                          <w:marTop w:val="0"/>
                          <w:marBottom w:val="0"/>
                          <w:divBdr>
                            <w:top w:val="none" w:sz="0" w:space="0" w:color="auto"/>
                            <w:left w:val="none" w:sz="0" w:space="0" w:color="auto"/>
                            <w:bottom w:val="none" w:sz="0" w:space="0" w:color="auto"/>
                            <w:right w:val="none" w:sz="0" w:space="0" w:color="auto"/>
                          </w:divBdr>
                          <w:divsChild>
                            <w:div w:id="488522908">
                              <w:marLeft w:val="90"/>
                              <w:marRight w:val="90"/>
                              <w:marTop w:val="0"/>
                              <w:marBottom w:val="0"/>
                              <w:divBdr>
                                <w:top w:val="none" w:sz="0" w:space="0" w:color="auto"/>
                                <w:left w:val="none" w:sz="0" w:space="0" w:color="auto"/>
                                <w:bottom w:val="none" w:sz="0" w:space="0" w:color="auto"/>
                                <w:right w:val="none" w:sz="0" w:space="0" w:color="auto"/>
                              </w:divBdr>
                              <w:divsChild>
                                <w:div w:id="1210679045">
                                  <w:marLeft w:val="0"/>
                                  <w:marRight w:val="0"/>
                                  <w:marTop w:val="0"/>
                                  <w:marBottom w:val="0"/>
                                  <w:divBdr>
                                    <w:top w:val="none" w:sz="0" w:space="0" w:color="auto"/>
                                    <w:left w:val="none" w:sz="0" w:space="0" w:color="auto"/>
                                    <w:bottom w:val="none" w:sz="0" w:space="0" w:color="auto"/>
                                    <w:right w:val="none" w:sz="0" w:space="0" w:color="auto"/>
                                  </w:divBdr>
                                  <w:divsChild>
                                    <w:div w:id="1817333150">
                                      <w:marLeft w:val="0"/>
                                      <w:marRight w:val="0"/>
                                      <w:marTop w:val="0"/>
                                      <w:marBottom w:val="0"/>
                                      <w:divBdr>
                                        <w:top w:val="none" w:sz="0" w:space="0" w:color="auto"/>
                                        <w:left w:val="none" w:sz="0" w:space="0" w:color="auto"/>
                                        <w:bottom w:val="none" w:sz="0" w:space="0" w:color="auto"/>
                                        <w:right w:val="none" w:sz="0" w:space="0" w:color="auto"/>
                                      </w:divBdr>
                                      <w:divsChild>
                                        <w:div w:id="1745491902">
                                          <w:marLeft w:val="0"/>
                                          <w:marRight w:val="0"/>
                                          <w:marTop w:val="0"/>
                                          <w:marBottom w:val="0"/>
                                          <w:divBdr>
                                            <w:top w:val="none" w:sz="0" w:space="0" w:color="auto"/>
                                            <w:left w:val="none" w:sz="0" w:space="0" w:color="auto"/>
                                            <w:bottom w:val="none" w:sz="0" w:space="0" w:color="auto"/>
                                            <w:right w:val="none" w:sz="0" w:space="0" w:color="auto"/>
                                          </w:divBdr>
                                          <w:divsChild>
                                            <w:div w:id="1399670244">
                                              <w:marLeft w:val="0"/>
                                              <w:marRight w:val="0"/>
                                              <w:marTop w:val="0"/>
                                              <w:marBottom w:val="0"/>
                                              <w:divBdr>
                                                <w:top w:val="none" w:sz="0" w:space="0" w:color="auto"/>
                                                <w:left w:val="none" w:sz="0" w:space="0" w:color="auto"/>
                                                <w:bottom w:val="none" w:sz="0" w:space="0" w:color="auto"/>
                                                <w:right w:val="none" w:sz="0" w:space="0" w:color="auto"/>
                                              </w:divBdr>
                                              <w:divsChild>
                                                <w:div w:id="1361470089">
                                                  <w:marLeft w:val="0"/>
                                                  <w:marRight w:val="0"/>
                                                  <w:marTop w:val="0"/>
                                                  <w:marBottom w:val="0"/>
                                                  <w:divBdr>
                                                    <w:top w:val="none" w:sz="0" w:space="0" w:color="auto"/>
                                                    <w:left w:val="none" w:sz="0" w:space="0" w:color="auto"/>
                                                    <w:bottom w:val="none" w:sz="0" w:space="0" w:color="auto"/>
                                                    <w:right w:val="none" w:sz="0" w:space="0" w:color="auto"/>
                                                  </w:divBdr>
                                                  <w:divsChild>
                                                    <w:div w:id="1228998215">
                                                      <w:marLeft w:val="0"/>
                                                      <w:marRight w:val="0"/>
                                                      <w:marTop w:val="0"/>
                                                      <w:marBottom w:val="0"/>
                                                      <w:divBdr>
                                                        <w:top w:val="none" w:sz="0" w:space="0" w:color="auto"/>
                                                        <w:left w:val="none" w:sz="0" w:space="0" w:color="auto"/>
                                                        <w:bottom w:val="none" w:sz="0" w:space="0" w:color="auto"/>
                                                        <w:right w:val="none" w:sz="0" w:space="0" w:color="auto"/>
                                                      </w:divBdr>
                                                      <w:divsChild>
                                                        <w:div w:id="957568875">
                                                          <w:marLeft w:val="0"/>
                                                          <w:marRight w:val="0"/>
                                                          <w:marTop w:val="0"/>
                                                          <w:marBottom w:val="0"/>
                                                          <w:divBdr>
                                                            <w:top w:val="none" w:sz="0" w:space="0" w:color="auto"/>
                                                            <w:left w:val="none" w:sz="0" w:space="0" w:color="auto"/>
                                                            <w:bottom w:val="none" w:sz="0" w:space="0" w:color="auto"/>
                                                            <w:right w:val="none" w:sz="0" w:space="0" w:color="auto"/>
                                                          </w:divBdr>
                                                          <w:divsChild>
                                                            <w:div w:id="1982071946">
                                                              <w:marLeft w:val="0"/>
                                                              <w:marRight w:val="0"/>
                                                              <w:marTop w:val="0"/>
                                                              <w:marBottom w:val="0"/>
                                                              <w:divBdr>
                                                                <w:top w:val="none" w:sz="0" w:space="0" w:color="auto"/>
                                                                <w:left w:val="none" w:sz="0" w:space="0" w:color="auto"/>
                                                                <w:bottom w:val="none" w:sz="0" w:space="0" w:color="auto"/>
                                                                <w:right w:val="none" w:sz="0" w:space="0" w:color="auto"/>
                                                              </w:divBdr>
                                                              <w:divsChild>
                                                                <w:div w:id="1832988291">
                                                                  <w:marLeft w:val="0"/>
                                                                  <w:marRight w:val="0"/>
                                                                  <w:marTop w:val="0"/>
                                                                  <w:marBottom w:val="0"/>
                                                                  <w:divBdr>
                                                                    <w:top w:val="none" w:sz="0" w:space="0" w:color="auto"/>
                                                                    <w:left w:val="none" w:sz="0" w:space="0" w:color="auto"/>
                                                                    <w:bottom w:val="none" w:sz="0" w:space="0" w:color="auto"/>
                                                                    <w:right w:val="none" w:sz="0" w:space="0" w:color="auto"/>
                                                                  </w:divBdr>
                                                                  <w:divsChild>
                                                                    <w:div w:id="2089494100">
                                                                      <w:marLeft w:val="0"/>
                                                                      <w:marRight w:val="0"/>
                                                                      <w:marTop w:val="0"/>
                                                                      <w:marBottom w:val="0"/>
                                                                      <w:divBdr>
                                                                        <w:top w:val="none" w:sz="0" w:space="0" w:color="auto"/>
                                                                        <w:left w:val="none" w:sz="0" w:space="0" w:color="auto"/>
                                                                        <w:bottom w:val="none" w:sz="0" w:space="0" w:color="auto"/>
                                                                        <w:right w:val="none" w:sz="0" w:space="0" w:color="auto"/>
                                                                      </w:divBdr>
                                                                      <w:divsChild>
                                                                        <w:div w:id="1045563576">
                                                                          <w:marLeft w:val="0"/>
                                                                          <w:marRight w:val="0"/>
                                                                          <w:marTop w:val="0"/>
                                                                          <w:marBottom w:val="0"/>
                                                                          <w:divBdr>
                                                                            <w:top w:val="none" w:sz="0" w:space="0" w:color="auto"/>
                                                                            <w:left w:val="none" w:sz="0" w:space="0" w:color="auto"/>
                                                                            <w:bottom w:val="none" w:sz="0" w:space="0" w:color="auto"/>
                                                                            <w:right w:val="none" w:sz="0" w:space="0" w:color="auto"/>
                                                                          </w:divBdr>
                                                                          <w:divsChild>
                                                                            <w:div w:id="680162330">
                                                                              <w:marLeft w:val="0"/>
                                                                              <w:marRight w:val="0"/>
                                                                              <w:marTop w:val="0"/>
                                                                              <w:marBottom w:val="0"/>
                                                                              <w:divBdr>
                                                                                <w:top w:val="none" w:sz="0" w:space="0" w:color="auto"/>
                                                                                <w:left w:val="none" w:sz="0" w:space="0" w:color="auto"/>
                                                                                <w:bottom w:val="none" w:sz="0" w:space="0" w:color="auto"/>
                                                                                <w:right w:val="none" w:sz="0" w:space="0" w:color="auto"/>
                                                                              </w:divBdr>
                                                                              <w:divsChild>
                                                                                <w:div w:id="293408483">
                                                                                  <w:marLeft w:val="0"/>
                                                                                  <w:marRight w:val="0"/>
                                                                                  <w:marTop w:val="0"/>
                                                                                  <w:marBottom w:val="0"/>
                                                                                  <w:divBdr>
                                                                                    <w:top w:val="none" w:sz="0" w:space="0" w:color="auto"/>
                                                                                    <w:left w:val="none" w:sz="0" w:space="0" w:color="auto"/>
                                                                                    <w:bottom w:val="none" w:sz="0" w:space="0" w:color="auto"/>
                                                                                    <w:right w:val="none" w:sz="0" w:space="0" w:color="auto"/>
                                                                                  </w:divBdr>
                                                                                  <w:divsChild>
                                                                                    <w:div w:id="1644121761">
                                                                                      <w:marLeft w:val="90"/>
                                                                                      <w:marRight w:val="90"/>
                                                                                      <w:marTop w:val="0"/>
                                                                                      <w:marBottom w:val="0"/>
                                                                                      <w:divBdr>
                                                                                        <w:top w:val="none" w:sz="0" w:space="0" w:color="auto"/>
                                                                                        <w:left w:val="none" w:sz="0" w:space="0" w:color="auto"/>
                                                                                        <w:bottom w:val="none" w:sz="0" w:space="0" w:color="auto"/>
                                                                                        <w:right w:val="none" w:sz="0" w:space="0" w:color="auto"/>
                                                                                      </w:divBdr>
                                                                                      <w:divsChild>
                                                                                        <w:div w:id="1542744507">
                                                                                          <w:marLeft w:val="0"/>
                                                                                          <w:marRight w:val="0"/>
                                                                                          <w:marTop w:val="0"/>
                                                                                          <w:marBottom w:val="0"/>
                                                                                          <w:divBdr>
                                                                                            <w:top w:val="none" w:sz="0" w:space="0" w:color="auto"/>
                                                                                            <w:left w:val="none" w:sz="0" w:space="0" w:color="auto"/>
                                                                                            <w:bottom w:val="none" w:sz="0" w:space="0" w:color="auto"/>
                                                                                            <w:right w:val="none" w:sz="0" w:space="0" w:color="auto"/>
                                                                                          </w:divBdr>
                                                                                          <w:divsChild>
                                                                                            <w:div w:id="520553778">
                                                                                              <w:marLeft w:val="0"/>
                                                                                              <w:marRight w:val="0"/>
                                                                                              <w:marTop w:val="0"/>
                                                                                              <w:marBottom w:val="0"/>
                                                                                              <w:divBdr>
                                                                                                <w:top w:val="none" w:sz="0" w:space="0" w:color="auto"/>
                                                                                                <w:left w:val="none" w:sz="0" w:space="0" w:color="auto"/>
                                                                                                <w:bottom w:val="none" w:sz="0" w:space="0" w:color="auto"/>
                                                                                                <w:right w:val="none" w:sz="0" w:space="0" w:color="auto"/>
                                                                                              </w:divBdr>
                                                                                              <w:divsChild>
                                                                                                <w:div w:id="594747335">
                                                                                                  <w:marLeft w:val="0"/>
                                                                                                  <w:marRight w:val="0"/>
                                                                                                  <w:marTop w:val="0"/>
                                                                                                  <w:marBottom w:val="0"/>
                                                                                                  <w:divBdr>
                                                                                                    <w:top w:val="none" w:sz="0" w:space="0" w:color="auto"/>
                                                                                                    <w:left w:val="none" w:sz="0" w:space="0" w:color="auto"/>
                                                                                                    <w:bottom w:val="none" w:sz="0" w:space="0" w:color="auto"/>
                                                                                                    <w:right w:val="none" w:sz="0" w:space="0" w:color="auto"/>
                                                                                                  </w:divBdr>
                                                                                                  <w:divsChild>
                                                                                                    <w:div w:id="450561309">
                                                                                                      <w:marLeft w:val="0"/>
                                                                                                      <w:marRight w:val="0"/>
                                                                                                      <w:marTop w:val="0"/>
                                                                                                      <w:marBottom w:val="0"/>
                                                                                                      <w:divBdr>
                                                                                                        <w:top w:val="none" w:sz="0" w:space="0" w:color="auto"/>
                                                                                                        <w:left w:val="none" w:sz="0" w:space="0" w:color="auto"/>
                                                                                                        <w:bottom w:val="none" w:sz="0" w:space="0" w:color="auto"/>
                                                                                                        <w:right w:val="none" w:sz="0" w:space="0" w:color="auto"/>
                                                                                                      </w:divBdr>
                                                                                                      <w:divsChild>
                                                                                                        <w:div w:id="36348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orldbank.org/en/programs/globalfinde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1712</Words>
  <Characters>9763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Darah Aljoudar</dc:creator>
  <cp:lastModifiedBy>Benjamin Rae</cp:lastModifiedBy>
  <cp:revision>2</cp:revision>
  <cp:lastPrinted>2015-05-15T19:20:00Z</cp:lastPrinted>
  <dcterms:created xsi:type="dcterms:W3CDTF">2015-05-20T18:01:00Z</dcterms:created>
  <dcterms:modified xsi:type="dcterms:W3CDTF">2015-05-20T18:01:00Z</dcterms:modified>
</cp:coreProperties>
</file>